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20"/>
        <w:gridCol w:w="6048"/>
      </w:tblGrid>
      <w:tr>
        <w:tc>
          <w:tcPr>
            <w:tcW w:type="dxa" w:w="5285"/>
            <w:shd w:fill="091015"/>
            <w:tcMar>
              <w:top w:w="110" w:type="dxa"/>
              <w:start w:w="100" w:type="dxa"/>
              <w:bottom w:w="110" w:type="dxa"/>
              <w:end w:w="10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E9EEDC"/>
                <w:sz w:val="21"/>
              </w:rPr>
              <w:t>ARENACX | RESOURCES</w:t>
            </w:r>
          </w:p>
        </w:tc>
        <w:tc>
          <w:tcPr>
            <w:tcW w:type="dxa" w:w="5285"/>
            <w:shd w:fill="091015"/>
            <w:tcMar>
              <w:top w:w="110" w:type="dxa"/>
              <w:start w:w="100" w:type="dxa"/>
              <w:bottom w:w="110" w:type="dxa"/>
              <w:end w:w="10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8E9AA3"/>
                <w:sz w:val="17"/>
              </w:rPr>
              <w:t>Provider-model decision framework</w:t>
            </w:r>
          </w:p>
        </w:tc>
      </w:tr>
    </w:tbl>
    <w:p>
      <w:pPr>
        <w:spacing w:after="0"/>
      </w:pPr>
    </w:p>
    <w:p>
      <w:pPr>
        <w:spacing w:before="0" w:after="40" w:line="240" w:lineRule="auto"/>
        <w:keepNext/>
      </w:pPr>
      <w:r>
        <w:rPr>
          <w:rFonts w:ascii="Arial" w:hAnsi="Arial"/>
          <w:b/>
          <w:color w:val="0A0D10"/>
          <w:sz w:val="48"/>
        </w:rPr>
        <w:t>One Provider or Many?</w:t>
      </w:r>
    </w:p>
    <w:p>
      <w:pPr>
        <w:spacing w:before="0" w:after="80" w:line="240" w:lineRule="auto"/>
        <w:keepNext/>
      </w:pPr>
      <w:r>
        <w:rPr>
          <w:rFonts w:ascii="Arial" w:hAnsi="Arial"/>
          <w:b w:val="0"/>
          <w:color w:val="5D6872"/>
          <w:sz w:val="28"/>
        </w:rPr>
        <w:t>Customer Operations Provider-Model Decision Framework</w:t>
      </w:r>
    </w:p>
    <w:p>
      <w:pPr>
        <w:spacing w:before="0" w:after="40" w:line="240" w:lineRule="auto"/>
        <w:keepNext/>
      </w:pPr>
      <w:r>
        <w:rPr>
          <w:rFonts w:ascii="Arial" w:hAnsi="Arial"/>
          <w:b/>
          <w:color w:val="D89A52"/>
          <w:sz w:val="21"/>
        </w:rPr>
        <w:t>FILLABLE DECISION TOOL</w:t>
      </w:r>
    </w:p>
    <w:p>
      <w:pPr>
        <w:spacing w:before="0" w:after="80" w:line="240" w:lineRule="auto"/>
      </w:pPr>
      <w:r>
        <w:rPr>
          <w:rFonts w:ascii="Arial" w:hAnsi="Arial"/>
          <w:b w:val="0"/>
          <w:color w:val="5D6872"/>
          <w:sz w:val="18"/>
        </w:rPr>
        <w:t>Use this tool to compare a single-provider, hybrid, or multi-provider model against your operating reality.</w:t>
      </w:r>
    </w:p>
    <w:p>
      <w:pPr>
        <w:spacing w:before="40" w:after="60" w:line="240" w:lineRule="auto"/>
        <w:keepNext/>
      </w:pPr>
      <w:r>
        <w:rPr>
          <w:rFonts w:ascii="Arial" w:hAnsi="Arial"/>
          <w:b/>
          <w:color w:val="1A575B"/>
          <w:sz w:val="32"/>
        </w:rPr>
        <w:t>Decision context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76"/>
        <w:gridCol w:w="7992"/>
      </w:tblGrid>
      <w:tr>
        <w:tc>
          <w:tcPr>
            <w:tcW w:type="dxa" w:w="5285"/>
            <w:tcMar>
              <w:top w:w="65" w:type="dxa"/>
              <w:start w:w="70" w:type="dxa"/>
              <w:bottom w:w="65" w:type="dxa"/>
              <w:end w:w="70" w:type="dxa"/>
            </w:tcMar>
            <w:tcBorders>
              <w:bottom w:val="single" w:sz="5" w:color="D9E1E4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111820"/>
                <w:sz w:val="18"/>
              </w:rPr>
              <w:t>Organization / program</w:t>
            </w:r>
          </w:p>
        </w:tc>
        <w:tc>
          <w:tcPr>
            <w:tcW w:type="dxa" w:w="5285"/>
            <w:tcMar>
              <w:top w:w="55" w:type="dxa"/>
              <w:start w:w="70" w:type="dxa"/>
              <w:bottom w:w="55" w:type="dxa"/>
              <w:end w:w="70" w:type="dxa"/>
            </w:tcMar>
            <w:tcBorders>
              <w:bottom w:val="single" w:sz="5" w:color="D9E1E4"/>
            </w:tcBorders>
            <w:shd w:fill="F4F7F7"/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11820"/>
                <w:sz w:val="18"/>
              </w:rPr>
              <w:t xml:space="preserve"> </w:t>
            </w:r>
          </w:p>
        </w:tc>
      </w:tr>
      <w:tr>
        <w:tc>
          <w:tcPr>
            <w:tcW w:type="dxa" w:w="5285"/>
            <w:tcMar>
              <w:top w:w="65" w:type="dxa"/>
              <w:start w:w="70" w:type="dxa"/>
              <w:bottom w:w="65" w:type="dxa"/>
              <w:end w:w="70" w:type="dxa"/>
            </w:tcMar>
            <w:tcBorders>
              <w:bottom w:val="single" w:sz="5" w:color="D9E1E4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111820"/>
                <w:sz w:val="18"/>
              </w:rPr>
              <w:t>Decision owner</w:t>
            </w:r>
          </w:p>
        </w:tc>
        <w:tc>
          <w:tcPr>
            <w:tcW w:type="dxa" w:w="5285"/>
            <w:tcMar>
              <w:top w:w="55" w:type="dxa"/>
              <w:start w:w="70" w:type="dxa"/>
              <w:bottom w:w="55" w:type="dxa"/>
              <w:end w:w="70" w:type="dxa"/>
            </w:tcMar>
            <w:tcBorders>
              <w:bottom w:val="single" w:sz="5" w:color="D9E1E4"/>
            </w:tcBorders>
            <w:shd w:fill="F4F7F7"/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11820"/>
                <w:sz w:val="18"/>
              </w:rPr>
              <w:t xml:space="preserve"> </w:t>
            </w:r>
          </w:p>
        </w:tc>
      </w:tr>
      <w:tr>
        <w:tc>
          <w:tcPr>
            <w:tcW w:type="dxa" w:w="5285"/>
            <w:tcMar>
              <w:top w:w="65" w:type="dxa"/>
              <w:start w:w="70" w:type="dxa"/>
              <w:bottom w:w="65" w:type="dxa"/>
              <w:end w:w="70" w:type="dxa"/>
            </w:tcMar>
            <w:tcBorders>
              <w:bottom w:val="single" w:sz="5" w:color="D9E1E4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111820"/>
                <w:sz w:val="18"/>
              </w:rPr>
              <w:t>Assessment date</w:t>
            </w:r>
          </w:p>
        </w:tc>
        <w:tc>
          <w:tcPr>
            <w:tcW w:type="dxa" w:w="5285"/>
            <w:tcMar>
              <w:top w:w="55" w:type="dxa"/>
              <w:start w:w="70" w:type="dxa"/>
              <w:bottom w:w="55" w:type="dxa"/>
              <w:end w:w="70" w:type="dxa"/>
            </w:tcMar>
            <w:tcBorders>
              <w:bottom w:val="single" w:sz="5" w:color="D9E1E4"/>
            </w:tcBorders>
            <w:shd w:fill="F4F7F7"/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11820"/>
                <w:sz w:val="18"/>
              </w:rPr>
              <w:t xml:space="preserve"> </w:t>
            </w:r>
          </w:p>
        </w:tc>
      </w:tr>
      <w:tr>
        <w:tc>
          <w:tcPr>
            <w:tcW w:type="dxa" w:w="5285"/>
            <w:tcMar>
              <w:top w:w="65" w:type="dxa"/>
              <w:start w:w="70" w:type="dxa"/>
              <w:bottom w:w="65" w:type="dxa"/>
              <w:end w:w="70" w:type="dxa"/>
            </w:tcMar>
            <w:tcBorders>
              <w:bottom w:val="single" w:sz="5" w:color="D9E1E4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111820"/>
                <w:sz w:val="18"/>
              </w:rPr>
              <w:t>Current model</w:t>
            </w:r>
          </w:p>
        </w:tc>
        <w:tc>
          <w:tcPr>
            <w:tcW w:type="dxa" w:w="5285"/>
            <w:tcMar>
              <w:top w:w="55" w:type="dxa"/>
              <w:start w:w="70" w:type="dxa"/>
              <w:bottom w:w="55" w:type="dxa"/>
              <w:end w:w="70" w:type="dxa"/>
            </w:tcMar>
            <w:tcBorders>
              <w:bottom w:val="single" w:sz="5" w:color="D9E1E4"/>
            </w:tcBorders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111820"/>
                <w:sz w:val="18"/>
              </w:rPr>
              <w:t>☐ Single provider        ☐ Hybrid        ☐ Multi-provider</w:t>
            </w:r>
          </w:p>
        </w:tc>
      </w:tr>
    </w:tbl>
    <w:p>
      <w:pPr>
        <w:spacing w:before="80" w:after="40" w:line="240" w:lineRule="auto"/>
        <w:keepNext/>
      </w:pPr>
      <w:r>
        <w:rPr>
          <w:rFonts w:ascii="Arial" w:hAnsi="Arial"/>
          <w:b/>
          <w:color w:val="1A575B"/>
          <w:sz w:val="32"/>
        </w:rPr>
        <w:t>How to use this framework</w:t>
      </w:r>
    </w:p>
    <w:p>
      <w:pPr>
        <w:spacing w:after="10" w:line="240" w:lineRule="auto"/>
        <w:ind w:left="29" w:hanging="29"/>
      </w:pPr>
      <w:r>
        <w:rPr>
          <w:rFonts w:ascii="Arial" w:hAnsi="Arial"/>
          <w:b w:val="0"/>
          <w:color w:val="111820"/>
          <w:sz w:val="18"/>
        </w:rPr>
        <w:t>1.  Score each dimension from 1 to 5.</w:t>
      </w:r>
    </w:p>
    <w:p>
      <w:pPr>
        <w:spacing w:after="10" w:line="240" w:lineRule="auto"/>
        <w:ind w:left="29" w:hanging="29"/>
      </w:pPr>
      <w:r>
        <w:rPr>
          <w:rFonts w:ascii="Arial" w:hAnsi="Arial"/>
          <w:b w:val="0"/>
          <w:color w:val="111820"/>
          <w:sz w:val="18"/>
        </w:rPr>
        <w:t>2.  Use the suggested weight if a weighted view is helpful.</w:t>
      </w:r>
    </w:p>
    <w:p>
      <w:pPr>
        <w:spacing w:after="10" w:line="240" w:lineRule="auto"/>
        <w:ind w:left="29" w:hanging="29"/>
      </w:pPr>
      <w:r>
        <w:rPr>
          <w:rFonts w:ascii="Arial" w:hAnsi="Arial"/>
          <w:b w:val="0"/>
          <w:color w:val="111820"/>
          <w:sz w:val="18"/>
        </w:rPr>
        <w:t>3.  Record any critical constraint that could override the arithmetic.</w:t>
      </w:r>
    </w:p>
    <w:p>
      <w:pPr>
        <w:spacing w:after="10" w:line="240" w:lineRule="auto"/>
        <w:ind w:left="29" w:hanging="29"/>
      </w:pPr>
      <w:r>
        <w:rPr>
          <w:rFonts w:ascii="Arial" w:hAnsi="Arial"/>
          <w:b w:val="0"/>
          <w:color w:val="111820"/>
          <w:sz w:val="18"/>
        </w:rPr>
        <w:t>4.  Pressure-test the preferred model before committing.</w:t>
      </w:r>
    </w:p>
    <w:p>
      <w:pPr>
        <w:spacing w:before="60" w:after="40" w:line="240" w:lineRule="auto"/>
        <w:keepNext/>
      </w:pPr>
      <w:r>
        <w:rPr>
          <w:rFonts w:ascii="Arial" w:hAnsi="Arial"/>
          <w:b/>
          <w:color w:val="1A575B"/>
          <w:sz w:val="32"/>
        </w:rPr>
        <w:t>Decision scorecard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4"/>
        <w:gridCol w:w="893"/>
        <w:gridCol w:w="1037"/>
        <w:gridCol w:w="1094"/>
        <w:gridCol w:w="1181"/>
        <w:gridCol w:w="2059"/>
      </w:tblGrid>
      <w:tr>
        <w:trPr>
          <w:tblHeader w:val="true"/>
        </w:trPr>
        <w:tc>
          <w:tcPr>
            <w:tcW w:type="dxa" w:w="1762"/>
            <w:vAlign w:val="center"/>
            <w:tcMar>
              <w:top w:w="180" w:type="dxa"/>
              <w:start w:w="70" w:type="dxa"/>
              <w:bottom w:w="180" w:type="dxa"/>
              <w:end w:w="70" w:type="dxa"/>
            </w:tcMar>
            <w:shd w:fill="1A575B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5"/>
              </w:rPr>
              <w:t>Dimension</w:t>
            </w:r>
          </w:p>
        </w:tc>
        <w:tc>
          <w:tcPr>
            <w:tcW w:type="dxa" w:w="1762"/>
            <w:vAlign w:val="center"/>
            <w:tcMar>
              <w:top w:w="180" w:type="dxa"/>
              <w:start w:w="70" w:type="dxa"/>
              <w:bottom w:w="180" w:type="dxa"/>
              <w:end w:w="70" w:type="dxa"/>
            </w:tcMar>
            <w:shd w:fill="1A575B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5"/>
              </w:rPr>
              <w:t>Weight</w:t>
            </w:r>
          </w:p>
        </w:tc>
        <w:tc>
          <w:tcPr>
            <w:tcW w:type="dxa" w:w="1762"/>
            <w:vAlign w:val="center"/>
            <w:tcMar>
              <w:top w:w="180" w:type="dxa"/>
              <w:start w:w="70" w:type="dxa"/>
              <w:bottom w:w="180" w:type="dxa"/>
              <w:end w:w="70" w:type="dxa"/>
            </w:tcMar>
            <w:shd w:fill="1A575B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5"/>
              </w:rPr>
              <w:t>Score 1-5</w:t>
            </w:r>
          </w:p>
        </w:tc>
        <w:tc>
          <w:tcPr>
            <w:tcW w:type="dxa" w:w="1762"/>
            <w:vAlign w:val="center"/>
            <w:tcMar>
              <w:top w:w="180" w:type="dxa"/>
              <w:start w:w="70" w:type="dxa"/>
              <w:bottom w:w="180" w:type="dxa"/>
              <w:end w:w="70" w:type="dxa"/>
            </w:tcMar>
            <w:shd w:fill="1A575B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5"/>
              </w:rPr>
              <w:t>Weighted</w:t>
            </w:r>
          </w:p>
        </w:tc>
        <w:tc>
          <w:tcPr>
            <w:tcW w:type="dxa" w:w="1762"/>
            <w:vAlign w:val="center"/>
            <w:tcMar>
              <w:top w:w="180" w:type="dxa"/>
              <w:start w:w="70" w:type="dxa"/>
              <w:bottom w:w="180" w:type="dxa"/>
              <w:end w:w="70" w:type="dxa"/>
            </w:tcMar>
            <w:shd w:fill="1A575B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5"/>
              </w:rPr>
              <w:t>Constraint?</w:t>
            </w:r>
          </w:p>
        </w:tc>
        <w:tc>
          <w:tcPr>
            <w:tcW w:type="dxa" w:w="1762"/>
            <w:vAlign w:val="center"/>
            <w:tcMar>
              <w:top w:w="180" w:type="dxa"/>
              <w:start w:w="70" w:type="dxa"/>
              <w:bottom w:w="180" w:type="dxa"/>
              <w:end w:w="70" w:type="dxa"/>
            </w:tcMar>
            <w:shd w:fill="1A575B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5"/>
              </w:rPr>
              <w:t>Notes</w:t>
            </w:r>
          </w:p>
        </w:tc>
      </w:tr>
      <w:tr>
        <w:tc>
          <w:tcPr>
            <w:tcW w:type="dxa" w:w="1762"/>
            <w:vAlign w:val="center"/>
            <w:tcMar>
              <w:top w:w="180" w:type="dxa"/>
              <w:start w:w="70" w:type="dxa"/>
              <w:bottom w:w="180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111820"/>
                <w:sz w:val="15"/>
              </w:rPr>
              <w:t>Demand variability / surge</w:t>
            </w:r>
          </w:p>
        </w:tc>
        <w:tc>
          <w:tcPr>
            <w:tcW w:type="dxa" w:w="1762"/>
            <w:vAlign w:val="center"/>
            <w:tcMar>
              <w:top w:w="180" w:type="dxa"/>
              <w:start w:w="70" w:type="dxa"/>
              <w:bottom w:w="180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111820"/>
                <w:sz w:val="15"/>
              </w:rPr>
              <w:t>15%</w:t>
            </w:r>
          </w:p>
        </w:tc>
        <w:tc>
          <w:tcPr>
            <w:tcW w:type="dxa" w:w="1762"/>
            <w:shd w:fill="F4F7F7"/>
            <w:vAlign w:val="center"/>
            <w:tcMar>
              <w:top w:w="180" w:type="dxa"/>
              <w:start w:w="70" w:type="dxa"/>
              <w:bottom w:w="180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111820"/>
                <w:sz w:val="15"/>
              </w:rPr>
              <w:t xml:space="preserve"> </w:t>
            </w:r>
          </w:p>
        </w:tc>
        <w:tc>
          <w:tcPr>
            <w:tcW w:type="dxa" w:w="1762"/>
            <w:shd w:fill="F4F7F7"/>
            <w:vAlign w:val="center"/>
            <w:tcMar>
              <w:top w:w="180" w:type="dxa"/>
              <w:start w:w="70" w:type="dxa"/>
              <w:bottom w:w="180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111820"/>
                <w:sz w:val="15"/>
              </w:rPr>
              <w:t xml:space="preserve"> </w:t>
            </w:r>
          </w:p>
        </w:tc>
        <w:tc>
          <w:tcPr>
            <w:tcW w:type="dxa" w:w="1762"/>
            <w:shd w:fill="F4F7F7"/>
            <w:vAlign w:val="center"/>
            <w:tcMar>
              <w:top w:w="180" w:type="dxa"/>
              <w:start w:w="70" w:type="dxa"/>
              <w:bottom w:w="180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111820"/>
                <w:sz w:val="15"/>
              </w:rPr>
              <w:t xml:space="preserve"> </w:t>
            </w:r>
          </w:p>
        </w:tc>
        <w:tc>
          <w:tcPr>
            <w:tcW w:type="dxa" w:w="1762"/>
            <w:shd w:fill="F4F7F7"/>
            <w:vAlign w:val="center"/>
            <w:tcMar>
              <w:top w:w="180" w:type="dxa"/>
              <w:start w:w="70" w:type="dxa"/>
              <w:bottom w:w="180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111820"/>
                <w:sz w:val="15"/>
              </w:rPr>
              <w:t xml:space="preserve"> </w:t>
            </w:r>
          </w:p>
        </w:tc>
      </w:tr>
      <w:tr>
        <w:tc>
          <w:tcPr>
            <w:tcW w:type="dxa" w:w="1762"/>
            <w:vAlign w:val="center"/>
            <w:tcMar>
              <w:top w:w="180" w:type="dxa"/>
              <w:start w:w="70" w:type="dxa"/>
              <w:bottom w:w="180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111820"/>
                <w:sz w:val="15"/>
              </w:rPr>
              <w:t>Specialized capability needs</w:t>
            </w:r>
          </w:p>
        </w:tc>
        <w:tc>
          <w:tcPr>
            <w:tcW w:type="dxa" w:w="1762"/>
            <w:vAlign w:val="center"/>
            <w:tcMar>
              <w:top w:w="180" w:type="dxa"/>
              <w:start w:w="70" w:type="dxa"/>
              <w:bottom w:w="180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111820"/>
                <w:sz w:val="15"/>
              </w:rPr>
              <w:t>15%</w:t>
            </w:r>
          </w:p>
        </w:tc>
        <w:tc>
          <w:tcPr>
            <w:tcW w:type="dxa" w:w="1762"/>
            <w:shd w:fill="F4F7F7"/>
            <w:vAlign w:val="center"/>
            <w:tcMar>
              <w:top w:w="180" w:type="dxa"/>
              <w:start w:w="70" w:type="dxa"/>
              <w:bottom w:w="180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111820"/>
                <w:sz w:val="15"/>
              </w:rPr>
              <w:t xml:space="preserve"> </w:t>
            </w:r>
          </w:p>
        </w:tc>
        <w:tc>
          <w:tcPr>
            <w:tcW w:type="dxa" w:w="1762"/>
            <w:shd w:fill="F4F7F7"/>
            <w:vAlign w:val="center"/>
            <w:tcMar>
              <w:top w:w="180" w:type="dxa"/>
              <w:start w:w="70" w:type="dxa"/>
              <w:bottom w:w="180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111820"/>
                <w:sz w:val="15"/>
              </w:rPr>
              <w:t xml:space="preserve"> </w:t>
            </w:r>
          </w:p>
        </w:tc>
        <w:tc>
          <w:tcPr>
            <w:tcW w:type="dxa" w:w="1762"/>
            <w:shd w:fill="F4F7F7"/>
            <w:vAlign w:val="center"/>
            <w:tcMar>
              <w:top w:w="180" w:type="dxa"/>
              <w:start w:w="70" w:type="dxa"/>
              <w:bottom w:w="180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111820"/>
                <w:sz w:val="15"/>
              </w:rPr>
              <w:t xml:space="preserve"> </w:t>
            </w:r>
          </w:p>
        </w:tc>
        <w:tc>
          <w:tcPr>
            <w:tcW w:type="dxa" w:w="1762"/>
            <w:shd w:fill="F4F7F7"/>
            <w:vAlign w:val="center"/>
            <w:tcMar>
              <w:top w:w="180" w:type="dxa"/>
              <w:start w:w="70" w:type="dxa"/>
              <w:bottom w:w="180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111820"/>
                <w:sz w:val="15"/>
              </w:rPr>
              <w:t xml:space="preserve"> </w:t>
            </w:r>
          </w:p>
        </w:tc>
      </w:tr>
      <w:tr>
        <w:tc>
          <w:tcPr>
            <w:tcW w:type="dxa" w:w="1762"/>
            <w:vAlign w:val="center"/>
            <w:tcMar>
              <w:top w:w="180" w:type="dxa"/>
              <w:start w:w="70" w:type="dxa"/>
              <w:bottom w:w="180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111820"/>
                <w:sz w:val="15"/>
              </w:rPr>
              <w:t>Geographic / continuity risk</w:t>
            </w:r>
          </w:p>
        </w:tc>
        <w:tc>
          <w:tcPr>
            <w:tcW w:type="dxa" w:w="1762"/>
            <w:vAlign w:val="center"/>
            <w:tcMar>
              <w:top w:w="180" w:type="dxa"/>
              <w:start w:w="70" w:type="dxa"/>
              <w:bottom w:w="180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111820"/>
                <w:sz w:val="15"/>
              </w:rPr>
              <w:t>15%</w:t>
            </w:r>
          </w:p>
        </w:tc>
        <w:tc>
          <w:tcPr>
            <w:tcW w:type="dxa" w:w="1762"/>
            <w:shd w:fill="F4F7F7"/>
            <w:vAlign w:val="center"/>
            <w:tcMar>
              <w:top w:w="180" w:type="dxa"/>
              <w:start w:w="70" w:type="dxa"/>
              <w:bottom w:w="180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111820"/>
                <w:sz w:val="15"/>
              </w:rPr>
              <w:t xml:space="preserve"> </w:t>
            </w:r>
          </w:p>
        </w:tc>
        <w:tc>
          <w:tcPr>
            <w:tcW w:type="dxa" w:w="1762"/>
            <w:shd w:fill="F4F7F7"/>
            <w:vAlign w:val="center"/>
            <w:tcMar>
              <w:top w:w="180" w:type="dxa"/>
              <w:start w:w="70" w:type="dxa"/>
              <w:bottom w:w="180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111820"/>
                <w:sz w:val="15"/>
              </w:rPr>
              <w:t xml:space="preserve"> </w:t>
            </w:r>
          </w:p>
        </w:tc>
        <w:tc>
          <w:tcPr>
            <w:tcW w:type="dxa" w:w="1762"/>
            <w:shd w:fill="F4F7F7"/>
            <w:vAlign w:val="center"/>
            <w:tcMar>
              <w:top w:w="180" w:type="dxa"/>
              <w:start w:w="70" w:type="dxa"/>
              <w:bottom w:w="180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111820"/>
                <w:sz w:val="15"/>
              </w:rPr>
              <w:t xml:space="preserve"> </w:t>
            </w:r>
          </w:p>
        </w:tc>
        <w:tc>
          <w:tcPr>
            <w:tcW w:type="dxa" w:w="1762"/>
            <w:shd w:fill="F4F7F7"/>
            <w:vAlign w:val="center"/>
            <w:tcMar>
              <w:top w:w="180" w:type="dxa"/>
              <w:start w:w="70" w:type="dxa"/>
              <w:bottom w:w="180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111820"/>
                <w:sz w:val="15"/>
              </w:rPr>
              <w:t xml:space="preserve"> </w:t>
            </w:r>
          </w:p>
        </w:tc>
      </w:tr>
      <w:tr>
        <w:tc>
          <w:tcPr>
            <w:tcW w:type="dxa" w:w="1762"/>
            <w:vAlign w:val="center"/>
            <w:tcMar>
              <w:top w:w="180" w:type="dxa"/>
              <w:start w:w="70" w:type="dxa"/>
              <w:bottom w:w="180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111820"/>
                <w:sz w:val="15"/>
              </w:rPr>
              <w:t>Scale &amp; capacity flexibility</w:t>
            </w:r>
          </w:p>
        </w:tc>
        <w:tc>
          <w:tcPr>
            <w:tcW w:type="dxa" w:w="1762"/>
            <w:vAlign w:val="center"/>
            <w:tcMar>
              <w:top w:w="180" w:type="dxa"/>
              <w:start w:w="70" w:type="dxa"/>
              <w:bottom w:w="180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111820"/>
                <w:sz w:val="15"/>
              </w:rPr>
              <w:t>15%</w:t>
            </w:r>
          </w:p>
        </w:tc>
        <w:tc>
          <w:tcPr>
            <w:tcW w:type="dxa" w:w="1762"/>
            <w:shd w:fill="F4F7F7"/>
            <w:vAlign w:val="center"/>
            <w:tcMar>
              <w:top w:w="180" w:type="dxa"/>
              <w:start w:w="70" w:type="dxa"/>
              <w:bottom w:w="180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111820"/>
                <w:sz w:val="15"/>
              </w:rPr>
              <w:t xml:space="preserve"> </w:t>
            </w:r>
          </w:p>
        </w:tc>
        <w:tc>
          <w:tcPr>
            <w:tcW w:type="dxa" w:w="1762"/>
            <w:shd w:fill="F4F7F7"/>
            <w:vAlign w:val="center"/>
            <w:tcMar>
              <w:top w:w="180" w:type="dxa"/>
              <w:start w:w="70" w:type="dxa"/>
              <w:bottom w:w="180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111820"/>
                <w:sz w:val="15"/>
              </w:rPr>
              <w:t xml:space="preserve"> </w:t>
            </w:r>
          </w:p>
        </w:tc>
        <w:tc>
          <w:tcPr>
            <w:tcW w:type="dxa" w:w="1762"/>
            <w:shd w:fill="F4F7F7"/>
            <w:vAlign w:val="center"/>
            <w:tcMar>
              <w:top w:w="180" w:type="dxa"/>
              <w:start w:w="70" w:type="dxa"/>
              <w:bottom w:w="180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111820"/>
                <w:sz w:val="15"/>
              </w:rPr>
              <w:t xml:space="preserve"> </w:t>
            </w:r>
          </w:p>
        </w:tc>
        <w:tc>
          <w:tcPr>
            <w:tcW w:type="dxa" w:w="1762"/>
            <w:shd w:fill="F4F7F7"/>
            <w:vAlign w:val="center"/>
            <w:tcMar>
              <w:top w:w="180" w:type="dxa"/>
              <w:start w:w="70" w:type="dxa"/>
              <w:bottom w:w="180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111820"/>
                <w:sz w:val="15"/>
              </w:rPr>
              <w:t xml:space="preserve"> </w:t>
            </w:r>
          </w:p>
        </w:tc>
      </w:tr>
      <w:tr>
        <w:tc>
          <w:tcPr>
            <w:tcW w:type="dxa" w:w="1762"/>
            <w:vAlign w:val="center"/>
            <w:tcMar>
              <w:top w:w="180" w:type="dxa"/>
              <w:start w:w="70" w:type="dxa"/>
              <w:bottom w:w="180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111820"/>
                <w:sz w:val="15"/>
              </w:rPr>
              <w:t>Governance capacity</w:t>
            </w:r>
          </w:p>
        </w:tc>
        <w:tc>
          <w:tcPr>
            <w:tcW w:type="dxa" w:w="1762"/>
            <w:vAlign w:val="center"/>
            <w:tcMar>
              <w:top w:w="180" w:type="dxa"/>
              <w:start w:w="70" w:type="dxa"/>
              <w:bottom w:w="180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111820"/>
                <w:sz w:val="15"/>
              </w:rPr>
              <w:t>15%</w:t>
            </w:r>
          </w:p>
        </w:tc>
        <w:tc>
          <w:tcPr>
            <w:tcW w:type="dxa" w:w="1762"/>
            <w:shd w:fill="F4F7F7"/>
            <w:vAlign w:val="center"/>
            <w:tcMar>
              <w:top w:w="180" w:type="dxa"/>
              <w:start w:w="70" w:type="dxa"/>
              <w:bottom w:w="180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111820"/>
                <w:sz w:val="15"/>
              </w:rPr>
              <w:t xml:space="preserve"> </w:t>
            </w:r>
          </w:p>
        </w:tc>
        <w:tc>
          <w:tcPr>
            <w:tcW w:type="dxa" w:w="1762"/>
            <w:shd w:fill="F4F7F7"/>
            <w:vAlign w:val="center"/>
            <w:tcMar>
              <w:top w:w="180" w:type="dxa"/>
              <w:start w:w="70" w:type="dxa"/>
              <w:bottom w:w="180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111820"/>
                <w:sz w:val="15"/>
              </w:rPr>
              <w:t xml:space="preserve"> </w:t>
            </w:r>
          </w:p>
        </w:tc>
        <w:tc>
          <w:tcPr>
            <w:tcW w:type="dxa" w:w="1762"/>
            <w:shd w:fill="F4F7F7"/>
            <w:vAlign w:val="center"/>
            <w:tcMar>
              <w:top w:w="180" w:type="dxa"/>
              <w:start w:w="70" w:type="dxa"/>
              <w:bottom w:w="180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111820"/>
                <w:sz w:val="15"/>
              </w:rPr>
              <w:t xml:space="preserve"> </w:t>
            </w:r>
          </w:p>
        </w:tc>
        <w:tc>
          <w:tcPr>
            <w:tcW w:type="dxa" w:w="1762"/>
            <w:shd w:fill="F4F7F7"/>
            <w:vAlign w:val="center"/>
            <w:tcMar>
              <w:top w:w="180" w:type="dxa"/>
              <w:start w:w="70" w:type="dxa"/>
              <w:bottom w:w="180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111820"/>
                <w:sz w:val="15"/>
              </w:rPr>
              <w:t xml:space="preserve"> </w:t>
            </w:r>
          </w:p>
        </w:tc>
      </w:tr>
      <w:tr>
        <w:tc>
          <w:tcPr>
            <w:tcW w:type="dxa" w:w="1762"/>
            <w:vAlign w:val="center"/>
            <w:tcMar>
              <w:top w:w="180" w:type="dxa"/>
              <w:start w:w="70" w:type="dxa"/>
              <w:bottom w:w="180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111820"/>
                <w:sz w:val="15"/>
              </w:rPr>
              <w:t>Switching / transition cost</w:t>
            </w:r>
          </w:p>
        </w:tc>
        <w:tc>
          <w:tcPr>
            <w:tcW w:type="dxa" w:w="1762"/>
            <w:vAlign w:val="center"/>
            <w:tcMar>
              <w:top w:w="180" w:type="dxa"/>
              <w:start w:w="70" w:type="dxa"/>
              <w:bottom w:w="180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111820"/>
                <w:sz w:val="15"/>
              </w:rPr>
              <w:t>10%</w:t>
            </w:r>
          </w:p>
        </w:tc>
        <w:tc>
          <w:tcPr>
            <w:tcW w:type="dxa" w:w="1762"/>
            <w:shd w:fill="F4F7F7"/>
            <w:vAlign w:val="center"/>
            <w:tcMar>
              <w:top w:w="180" w:type="dxa"/>
              <w:start w:w="70" w:type="dxa"/>
              <w:bottom w:w="180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111820"/>
                <w:sz w:val="15"/>
              </w:rPr>
              <w:t xml:space="preserve"> </w:t>
            </w:r>
          </w:p>
        </w:tc>
        <w:tc>
          <w:tcPr>
            <w:tcW w:type="dxa" w:w="1762"/>
            <w:shd w:fill="F4F7F7"/>
            <w:vAlign w:val="center"/>
            <w:tcMar>
              <w:top w:w="180" w:type="dxa"/>
              <w:start w:w="70" w:type="dxa"/>
              <w:bottom w:w="180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111820"/>
                <w:sz w:val="15"/>
              </w:rPr>
              <w:t xml:space="preserve"> </w:t>
            </w:r>
          </w:p>
        </w:tc>
        <w:tc>
          <w:tcPr>
            <w:tcW w:type="dxa" w:w="1762"/>
            <w:shd w:fill="F4F7F7"/>
            <w:vAlign w:val="center"/>
            <w:tcMar>
              <w:top w:w="180" w:type="dxa"/>
              <w:start w:w="70" w:type="dxa"/>
              <w:bottom w:w="180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111820"/>
                <w:sz w:val="15"/>
              </w:rPr>
              <w:t xml:space="preserve"> </w:t>
            </w:r>
          </w:p>
        </w:tc>
        <w:tc>
          <w:tcPr>
            <w:tcW w:type="dxa" w:w="1762"/>
            <w:shd w:fill="F4F7F7"/>
            <w:vAlign w:val="center"/>
            <w:tcMar>
              <w:top w:w="180" w:type="dxa"/>
              <w:start w:w="70" w:type="dxa"/>
              <w:bottom w:w="180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111820"/>
                <w:sz w:val="15"/>
              </w:rPr>
              <w:t xml:space="preserve"> </w:t>
            </w:r>
          </w:p>
        </w:tc>
      </w:tr>
      <w:tr>
        <w:tc>
          <w:tcPr>
            <w:tcW w:type="dxa" w:w="1762"/>
            <w:vAlign w:val="center"/>
            <w:tcMar>
              <w:top w:w="180" w:type="dxa"/>
              <w:start w:w="70" w:type="dxa"/>
              <w:bottom w:w="180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111820"/>
                <w:sz w:val="15"/>
              </w:rPr>
              <w:t>Performance leverage</w:t>
            </w:r>
          </w:p>
        </w:tc>
        <w:tc>
          <w:tcPr>
            <w:tcW w:type="dxa" w:w="1762"/>
            <w:vAlign w:val="center"/>
            <w:tcMar>
              <w:top w:w="180" w:type="dxa"/>
              <w:start w:w="70" w:type="dxa"/>
              <w:bottom w:w="180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111820"/>
                <w:sz w:val="15"/>
              </w:rPr>
              <w:t>10%</w:t>
            </w:r>
          </w:p>
        </w:tc>
        <w:tc>
          <w:tcPr>
            <w:tcW w:type="dxa" w:w="1762"/>
            <w:shd w:fill="F4F7F7"/>
            <w:vAlign w:val="center"/>
            <w:tcMar>
              <w:top w:w="180" w:type="dxa"/>
              <w:start w:w="70" w:type="dxa"/>
              <w:bottom w:w="180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111820"/>
                <w:sz w:val="15"/>
              </w:rPr>
              <w:t xml:space="preserve"> </w:t>
            </w:r>
          </w:p>
        </w:tc>
        <w:tc>
          <w:tcPr>
            <w:tcW w:type="dxa" w:w="1762"/>
            <w:shd w:fill="F4F7F7"/>
            <w:vAlign w:val="center"/>
            <w:tcMar>
              <w:top w:w="180" w:type="dxa"/>
              <w:start w:w="70" w:type="dxa"/>
              <w:bottom w:w="180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111820"/>
                <w:sz w:val="15"/>
              </w:rPr>
              <w:t xml:space="preserve"> </w:t>
            </w:r>
          </w:p>
        </w:tc>
        <w:tc>
          <w:tcPr>
            <w:tcW w:type="dxa" w:w="1762"/>
            <w:shd w:fill="F4F7F7"/>
            <w:vAlign w:val="center"/>
            <w:tcMar>
              <w:top w:w="180" w:type="dxa"/>
              <w:start w:w="70" w:type="dxa"/>
              <w:bottom w:w="180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111820"/>
                <w:sz w:val="15"/>
              </w:rPr>
              <w:t xml:space="preserve"> </w:t>
            </w:r>
          </w:p>
        </w:tc>
        <w:tc>
          <w:tcPr>
            <w:tcW w:type="dxa" w:w="1762"/>
            <w:shd w:fill="F4F7F7"/>
            <w:vAlign w:val="center"/>
            <w:tcMar>
              <w:top w:w="180" w:type="dxa"/>
              <w:start w:w="70" w:type="dxa"/>
              <w:bottom w:w="180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111820"/>
                <w:sz w:val="15"/>
              </w:rPr>
              <w:t xml:space="preserve"> </w:t>
            </w:r>
          </w:p>
        </w:tc>
      </w:tr>
      <w:tr>
        <w:tc>
          <w:tcPr>
            <w:tcW w:type="dxa" w:w="1762"/>
            <w:vAlign w:val="center"/>
            <w:tcMar>
              <w:top w:w="180" w:type="dxa"/>
              <w:start w:w="70" w:type="dxa"/>
              <w:bottom w:w="180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111820"/>
                <w:sz w:val="15"/>
              </w:rPr>
              <w:t>Total economics</w:t>
            </w:r>
          </w:p>
        </w:tc>
        <w:tc>
          <w:tcPr>
            <w:tcW w:type="dxa" w:w="1762"/>
            <w:vAlign w:val="center"/>
            <w:tcMar>
              <w:top w:w="180" w:type="dxa"/>
              <w:start w:w="70" w:type="dxa"/>
              <w:bottom w:w="180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111820"/>
                <w:sz w:val="15"/>
              </w:rPr>
              <w:t>5%</w:t>
            </w:r>
          </w:p>
        </w:tc>
        <w:tc>
          <w:tcPr>
            <w:tcW w:type="dxa" w:w="1762"/>
            <w:shd w:fill="F4F7F7"/>
            <w:vAlign w:val="center"/>
            <w:tcMar>
              <w:top w:w="180" w:type="dxa"/>
              <w:start w:w="70" w:type="dxa"/>
              <w:bottom w:w="180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111820"/>
                <w:sz w:val="15"/>
              </w:rPr>
              <w:t xml:space="preserve"> </w:t>
            </w:r>
          </w:p>
        </w:tc>
        <w:tc>
          <w:tcPr>
            <w:tcW w:type="dxa" w:w="1762"/>
            <w:shd w:fill="F4F7F7"/>
            <w:vAlign w:val="center"/>
            <w:tcMar>
              <w:top w:w="180" w:type="dxa"/>
              <w:start w:w="70" w:type="dxa"/>
              <w:bottom w:w="180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111820"/>
                <w:sz w:val="15"/>
              </w:rPr>
              <w:t xml:space="preserve"> </w:t>
            </w:r>
          </w:p>
        </w:tc>
        <w:tc>
          <w:tcPr>
            <w:tcW w:type="dxa" w:w="1762"/>
            <w:shd w:fill="F4F7F7"/>
            <w:vAlign w:val="center"/>
            <w:tcMar>
              <w:top w:w="180" w:type="dxa"/>
              <w:start w:w="70" w:type="dxa"/>
              <w:bottom w:w="180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111820"/>
                <w:sz w:val="15"/>
              </w:rPr>
              <w:t xml:space="preserve"> </w:t>
            </w:r>
          </w:p>
        </w:tc>
        <w:tc>
          <w:tcPr>
            <w:tcW w:type="dxa" w:w="1762"/>
            <w:shd w:fill="F4F7F7"/>
            <w:vAlign w:val="center"/>
            <w:tcMar>
              <w:top w:w="180" w:type="dxa"/>
              <w:start w:w="70" w:type="dxa"/>
              <w:bottom w:w="180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111820"/>
                <w:sz w:val="15"/>
              </w:rPr>
              <w:t xml:space="preserve"> </w:t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20"/>
        <w:gridCol w:w="6048"/>
      </w:tblGrid>
      <w:tr>
        <w:tc>
          <w:tcPr>
            <w:tcW w:type="dxa" w:w="5285"/>
            <w:shd w:fill="091015"/>
            <w:tcMar>
              <w:top w:w="110" w:type="dxa"/>
              <w:start w:w="100" w:type="dxa"/>
              <w:bottom w:w="110" w:type="dxa"/>
              <w:end w:w="10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E9EEDC"/>
                <w:sz w:val="21"/>
              </w:rPr>
              <w:t>ARENACX | RESOURCES</w:t>
            </w:r>
          </w:p>
        </w:tc>
        <w:tc>
          <w:tcPr>
            <w:tcW w:type="dxa" w:w="5285"/>
            <w:shd w:fill="091015"/>
            <w:tcMar>
              <w:top w:w="110" w:type="dxa"/>
              <w:start w:w="100" w:type="dxa"/>
              <w:bottom w:w="110" w:type="dxa"/>
              <w:end w:w="10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8E9AA3"/>
                <w:sz w:val="17"/>
              </w:rPr>
              <w:t>Scoring anchors and interpretation</w:t>
            </w:r>
          </w:p>
        </w:tc>
      </w:tr>
    </w:tbl>
    <w:p>
      <w:pPr>
        <w:spacing w:after="0"/>
      </w:pPr>
    </w:p>
    <w:p>
      <w:pPr>
        <w:spacing w:before="20" w:after="60" w:line="240" w:lineRule="auto"/>
        <w:keepNext/>
      </w:pPr>
      <w:r>
        <w:rPr>
          <w:rFonts w:ascii="Arial" w:hAnsi="Arial"/>
          <w:b/>
          <w:color w:val="1A575B"/>
          <w:sz w:val="32"/>
        </w:rPr>
        <w:t>Scoring anchors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2520"/>
        <w:gridCol w:w="2448"/>
        <w:gridCol w:w="2880"/>
      </w:tblGrid>
      <w:tr>
        <w:trPr>
          <w:tblHeader w:val="true"/>
        </w:trPr>
        <w:tc>
          <w:tcPr>
            <w:tcW w:type="dxa" w:w="2642"/>
            <w:vAlign w:val="center"/>
            <w:tcMar>
              <w:top w:w="260" w:type="dxa"/>
              <w:start w:w="70" w:type="dxa"/>
              <w:bottom w:w="260" w:type="dxa"/>
              <w:end w:w="70" w:type="dxa"/>
            </w:tcMar>
            <w:shd w:fill="1A575B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Dimension</w:t>
            </w:r>
          </w:p>
        </w:tc>
        <w:tc>
          <w:tcPr>
            <w:tcW w:type="dxa" w:w="2642"/>
            <w:vAlign w:val="center"/>
            <w:tcMar>
              <w:top w:w="260" w:type="dxa"/>
              <w:start w:w="70" w:type="dxa"/>
              <w:bottom w:w="260" w:type="dxa"/>
              <w:end w:w="70" w:type="dxa"/>
            </w:tcMar>
            <w:shd w:fill="1A575B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1 - favors one</w:t>
            </w:r>
          </w:p>
        </w:tc>
        <w:tc>
          <w:tcPr>
            <w:tcW w:type="dxa" w:w="2642"/>
            <w:vAlign w:val="center"/>
            <w:tcMar>
              <w:top w:w="260" w:type="dxa"/>
              <w:start w:w="70" w:type="dxa"/>
              <w:bottom w:w="260" w:type="dxa"/>
              <w:end w:w="70" w:type="dxa"/>
            </w:tcMar>
            <w:shd w:fill="1A575B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3 - balanced</w:t>
            </w:r>
          </w:p>
        </w:tc>
        <w:tc>
          <w:tcPr>
            <w:tcW w:type="dxa" w:w="2642"/>
            <w:vAlign w:val="center"/>
            <w:tcMar>
              <w:top w:w="260" w:type="dxa"/>
              <w:start w:w="70" w:type="dxa"/>
              <w:bottom w:w="260" w:type="dxa"/>
              <w:end w:w="70" w:type="dxa"/>
            </w:tcMar>
            <w:shd w:fill="1A575B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5 - favors many</w:t>
            </w:r>
          </w:p>
        </w:tc>
      </w:tr>
      <w:tr>
        <w:tc>
          <w:tcPr>
            <w:tcW w:type="dxa" w:w="2642"/>
            <w:vAlign w:val="center"/>
            <w:tcMar>
              <w:top w:w="260" w:type="dxa"/>
              <w:start w:w="70" w:type="dxa"/>
              <w:bottom w:w="260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111820"/>
                <w:sz w:val="16"/>
              </w:rPr>
              <w:t>Demand variability / surge</w:t>
            </w:r>
          </w:p>
        </w:tc>
        <w:tc>
          <w:tcPr>
            <w:tcW w:type="dxa" w:w="2642"/>
            <w:vAlign w:val="center"/>
            <w:tcMar>
              <w:top w:w="260" w:type="dxa"/>
              <w:start w:w="70" w:type="dxa"/>
              <w:bottom w:w="260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111820"/>
                <w:sz w:val="16"/>
              </w:rPr>
              <w:t>Stable, predictable</w:t>
            </w:r>
          </w:p>
        </w:tc>
        <w:tc>
          <w:tcPr>
            <w:tcW w:type="dxa" w:w="2642"/>
            <w:vAlign w:val="center"/>
            <w:tcMar>
              <w:top w:w="260" w:type="dxa"/>
              <w:start w:w="70" w:type="dxa"/>
              <w:bottom w:w="260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111820"/>
                <w:sz w:val="16"/>
              </w:rPr>
              <w:t>Some variability</w:t>
            </w:r>
          </w:p>
        </w:tc>
        <w:tc>
          <w:tcPr>
            <w:tcW w:type="dxa" w:w="2642"/>
            <w:vAlign w:val="center"/>
            <w:tcMar>
              <w:top w:w="260" w:type="dxa"/>
              <w:start w:w="70" w:type="dxa"/>
              <w:bottom w:w="260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111820"/>
                <w:sz w:val="16"/>
              </w:rPr>
              <w:t>Large swings or surge</w:t>
            </w:r>
          </w:p>
        </w:tc>
      </w:tr>
      <w:tr>
        <w:tc>
          <w:tcPr>
            <w:tcW w:type="dxa" w:w="2642"/>
            <w:vAlign w:val="center"/>
            <w:tcMar>
              <w:top w:w="260" w:type="dxa"/>
              <w:start w:w="70" w:type="dxa"/>
              <w:bottom w:w="260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111820"/>
                <w:sz w:val="16"/>
              </w:rPr>
              <w:t>Specialized capability needs</w:t>
            </w:r>
          </w:p>
        </w:tc>
        <w:tc>
          <w:tcPr>
            <w:tcW w:type="dxa" w:w="2642"/>
            <w:vAlign w:val="center"/>
            <w:tcMar>
              <w:top w:w="260" w:type="dxa"/>
              <w:start w:w="70" w:type="dxa"/>
              <w:bottom w:w="260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111820"/>
                <w:sz w:val="16"/>
              </w:rPr>
              <w:t>Broad generalist work</w:t>
            </w:r>
          </w:p>
        </w:tc>
        <w:tc>
          <w:tcPr>
            <w:tcW w:type="dxa" w:w="2642"/>
            <w:vAlign w:val="center"/>
            <w:tcMar>
              <w:top w:w="260" w:type="dxa"/>
              <w:start w:w="70" w:type="dxa"/>
              <w:bottom w:w="260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111820"/>
                <w:sz w:val="16"/>
              </w:rPr>
              <w:t>Mixed requirements</w:t>
            </w:r>
          </w:p>
        </w:tc>
        <w:tc>
          <w:tcPr>
            <w:tcW w:type="dxa" w:w="2642"/>
            <w:vAlign w:val="center"/>
            <w:tcMar>
              <w:top w:w="260" w:type="dxa"/>
              <w:start w:w="70" w:type="dxa"/>
              <w:bottom w:w="260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111820"/>
                <w:sz w:val="16"/>
              </w:rPr>
              <w:t>Several distinct specialties</w:t>
            </w:r>
          </w:p>
        </w:tc>
      </w:tr>
      <w:tr>
        <w:tc>
          <w:tcPr>
            <w:tcW w:type="dxa" w:w="2642"/>
            <w:vAlign w:val="center"/>
            <w:tcMar>
              <w:top w:w="260" w:type="dxa"/>
              <w:start w:w="70" w:type="dxa"/>
              <w:bottom w:w="260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111820"/>
                <w:sz w:val="16"/>
              </w:rPr>
              <w:t>Geographic / continuity risk</w:t>
            </w:r>
          </w:p>
        </w:tc>
        <w:tc>
          <w:tcPr>
            <w:tcW w:type="dxa" w:w="2642"/>
            <w:vAlign w:val="center"/>
            <w:tcMar>
              <w:top w:w="260" w:type="dxa"/>
              <w:start w:w="70" w:type="dxa"/>
              <w:bottom w:w="260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111820"/>
                <w:sz w:val="16"/>
              </w:rPr>
              <w:t>Low concentration concern</w:t>
            </w:r>
          </w:p>
        </w:tc>
        <w:tc>
          <w:tcPr>
            <w:tcW w:type="dxa" w:w="2642"/>
            <w:vAlign w:val="center"/>
            <w:tcMar>
              <w:top w:w="260" w:type="dxa"/>
              <w:start w:w="70" w:type="dxa"/>
              <w:bottom w:w="260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111820"/>
                <w:sz w:val="16"/>
              </w:rPr>
              <w:t>Moderate exposure</w:t>
            </w:r>
          </w:p>
        </w:tc>
        <w:tc>
          <w:tcPr>
            <w:tcW w:type="dxa" w:w="2642"/>
            <w:vAlign w:val="center"/>
            <w:tcMar>
              <w:top w:w="260" w:type="dxa"/>
              <w:start w:w="70" w:type="dxa"/>
              <w:bottom w:w="260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111820"/>
                <w:sz w:val="16"/>
              </w:rPr>
              <w:t>Material concentration / continuity need</w:t>
            </w:r>
          </w:p>
        </w:tc>
      </w:tr>
      <w:tr>
        <w:tc>
          <w:tcPr>
            <w:tcW w:type="dxa" w:w="2642"/>
            <w:vAlign w:val="center"/>
            <w:tcMar>
              <w:top w:w="260" w:type="dxa"/>
              <w:start w:w="70" w:type="dxa"/>
              <w:bottom w:w="260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111820"/>
                <w:sz w:val="16"/>
              </w:rPr>
              <w:t>Scale &amp; capacity flexibility</w:t>
            </w:r>
          </w:p>
        </w:tc>
        <w:tc>
          <w:tcPr>
            <w:tcW w:type="dxa" w:w="2642"/>
            <w:vAlign w:val="center"/>
            <w:tcMar>
              <w:top w:w="260" w:type="dxa"/>
              <w:start w:w="70" w:type="dxa"/>
              <w:bottom w:w="260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111820"/>
                <w:sz w:val="16"/>
              </w:rPr>
              <w:t>Consistent scale</w:t>
            </w:r>
          </w:p>
        </w:tc>
        <w:tc>
          <w:tcPr>
            <w:tcW w:type="dxa" w:w="2642"/>
            <w:vAlign w:val="center"/>
            <w:tcMar>
              <w:top w:w="260" w:type="dxa"/>
              <w:start w:w="70" w:type="dxa"/>
              <w:bottom w:w="260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111820"/>
                <w:sz w:val="16"/>
              </w:rPr>
              <w:t>Some flexibility needed</w:t>
            </w:r>
          </w:p>
        </w:tc>
        <w:tc>
          <w:tcPr>
            <w:tcW w:type="dxa" w:w="2642"/>
            <w:vAlign w:val="center"/>
            <w:tcMar>
              <w:top w:w="260" w:type="dxa"/>
              <w:start w:w="70" w:type="dxa"/>
              <w:bottom w:w="260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111820"/>
                <w:sz w:val="16"/>
              </w:rPr>
              <w:t>Frequent reallocation / rapid scale</w:t>
            </w:r>
          </w:p>
        </w:tc>
      </w:tr>
      <w:tr>
        <w:tc>
          <w:tcPr>
            <w:tcW w:type="dxa" w:w="2642"/>
            <w:vAlign w:val="center"/>
            <w:tcMar>
              <w:top w:w="260" w:type="dxa"/>
              <w:start w:w="70" w:type="dxa"/>
              <w:bottom w:w="260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111820"/>
                <w:sz w:val="16"/>
              </w:rPr>
              <w:t>Governance capacity</w:t>
            </w:r>
          </w:p>
        </w:tc>
        <w:tc>
          <w:tcPr>
            <w:tcW w:type="dxa" w:w="2642"/>
            <w:vAlign w:val="center"/>
            <w:tcMar>
              <w:top w:w="260" w:type="dxa"/>
              <w:start w:w="70" w:type="dxa"/>
              <w:bottom w:w="260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111820"/>
                <w:sz w:val="16"/>
              </w:rPr>
              <w:t>Lean team; simplicity critical</w:t>
            </w:r>
          </w:p>
        </w:tc>
        <w:tc>
          <w:tcPr>
            <w:tcW w:type="dxa" w:w="2642"/>
            <w:vAlign w:val="center"/>
            <w:tcMar>
              <w:top w:w="260" w:type="dxa"/>
              <w:start w:w="70" w:type="dxa"/>
              <w:bottom w:w="260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111820"/>
                <w:sz w:val="16"/>
              </w:rPr>
              <w:t>Can govern a few relationships</w:t>
            </w:r>
          </w:p>
        </w:tc>
        <w:tc>
          <w:tcPr>
            <w:tcW w:type="dxa" w:w="2642"/>
            <w:vAlign w:val="center"/>
            <w:tcMar>
              <w:top w:w="260" w:type="dxa"/>
              <w:start w:w="70" w:type="dxa"/>
              <w:bottom w:w="260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111820"/>
                <w:sz w:val="16"/>
              </w:rPr>
              <w:t>Strong orchestration capability or managed layer</w:t>
            </w:r>
          </w:p>
        </w:tc>
      </w:tr>
      <w:tr>
        <w:tc>
          <w:tcPr>
            <w:tcW w:type="dxa" w:w="2642"/>
            <w:vAlign w:val="center"/>
            <w:tcMar>
              <w:top w:w="260" w:type="dxa"/>
              <w:start w:w="70" w:type="dxa"/>
              <w:bottom w:w="260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111820"/>
                <w:sz w:val="16"/>
              </w:rPr>
              <w:t>Switching / transition cost</w:t>
            </w:r>
          </w:p>
        </w:tc>
        <w:tc>
          <w:tcPr>
            <w:tcW w:type="dxa" w:w="2642"/>
            <w:vAlign w:val="center"/>
            <w:tcMar>
              <w:top w:w="260" w:type="dxa"/>
              <w:start w:w="70" w:type="dxa"/>
              <w:bottom w:w="260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111820"/>
                <w:sz w:val="16"/>
              </w:rPr>
              <w:t>High switching cost</w:t>
            </w:r>
          </w:p>
        </w:tc>
        <w:tc>
          <w:tcPr>
            <w:tcW w:type="dxa" w:w="2642"/>
            <w:vAlign w:val="center"/>
            <w:tcMar>
              <w:top w:w="260" w:type="dxa"/>
              <w:start w:w="70" w:type="dxa"/>
              <w:bottom w:w="260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111820"/>
                <w:sz w:val="16"/>
              </w:rPr>
              <w:t>Manageable</w:t>
            </w:r>
          </w:p>
        </w:tc>
        <w:tc>
          <w:tcPr>
            <w:tcW w:type="dxa" w:w="2642"/>
            <w:vAlign w:val="center"/>
            <w:tcMar>
              <w:top w:w="260" w:type="dxa"/>
              <w:start w:w="70" w:type="dxa"/>
              <w:bottom w:w="260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111820"/>
                <w:sz w:val="16"/>
              </w:rPr>
              <w:t>Low or staged transition cost</w:t>
            </w:r>
          </w:p>
        </w:tc>
      </w:tr>
      <w:tr>
        <w:tc>
          <w:tcPr>
            <w:tcW w:type="dxa" w:w="2642"/>
            <w:vAlign w:val="center"/>
            <w:tcMar>
              <w:top w:w="260" w:type="dxa"/>
              <w:start w:w="70" w:type="dxa"/>
              <w:bottom w:w="260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111820"/>
                <w:sz w:val="16"/>
              </w:rPr>
              <w:t>Performance leverage</w:t>
            </w:r>
          </w:p>
        </w:tc>
        <w:tc>
          <w:tcPr>
            <w:tcW w:type="dxa" w:w="2642"/>
            <w:vAlign w:val="center"/>
            <w:tcMar>
              <w:top w:w="260" w:type="dxa"/>
              <w:start w:w="70" w:type="dxa"/>
              <w:bottom w:w="260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111820"/>
                <w:sz w:val="16"/>
              </w:rPr>
              <w:t>Deep partnership creates advantage</w:t>
            </w:r>
          </w:p>
        </w:tc>
        <w:tc>
          <w:tcPr>
            <w:tcW w:type="dxa" w:w="2642"/>
            <w:vAlign w:val="center"/>
            <w:tcMar>
              <w:top w:w="260" w:type="dxa"/>
              <w:start w:w="70" w:type="dxa"/>
              <w:bottom w:w="260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111820"/>
                <w:sz w:val="16"/>
              </w:rPr>
              <w:t>Some benchmark value</w:t>
            </w:r>
          </w:p>
        </w:tc>
        <w:tc>
          <w:tcPr>
            <w:tcW w:type="dxa" w:w="2642"/>
            <w:vAlign w:val="center"/>
            <w:tcMar>
              <w:top w:w="260" w:type="dxa"/>
              <w:start w:w="70" w:type="dxa"/>
              <w:bottom w:w="260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111820"/>
                <w:sz w:val="16"/>
              </w:rPr>
              <w:t>Competition / allocation creates useful leverage</w:t>
            </w:r>
          </w:p>
        </w:tc>
      </w:tr>
      <w:tr>
        <w:tc>
          <w:tcPr>
            <w:tcW w:type="dxa" w:w="2642"/>
            <w:vAlign w:val="center"/>
            <w:tcMar>
              <w:top w:w="260" w:type="dxa"/>
              <w:start w:w="70" w:type="dxa"/>
              <w:bottom w:w="260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111820"/>
                <w:sz w:val="16"/>
              </w:rPr>
              <w:t>Total economics</w:t>
            </w:r>
          </w:p>
        </w:tc>
        <w:tc>
          <w:tcPr>
            <w:tcW w:type="dxa" w:w="2642"/>
            <w:vAlign w:val="center"/>
            <w:tcMar>
              <w:top w:w="260" w:type="dxa"/>
              <w:start w:w="70" w:type="dxa"/>
              <w:bottom w:w="260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111820"/>
                <w:sz w:val="16"/>
              </w:rPr>
              <w:t>Consolidation benefits dominate</w:t>
            </w:r>
          </w:p>
        </w:tc>
        <w:tc>
          <w:tcPr>
            <w:tcW w:type="dxa" w:w="2642"/>
            <w:vAlign w:val="center"/>
            <w:tcMar>
              <w:top w:w="260" w:type="dxa"/>
              <w:start w:w="70" w:type="dxa"/>
              <w:bottom w:w="260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111820"/>
                <w:sz w:val="16"/>
              </w:rPr>
              <w:t>Close trade-off</w:t>
            </w:r>
          </w:p>
        </w:tc>
        <w:tc>
          <w:tcPr>
            <w:tcW w:type="dxa" w:w="2642"/>
            <w:vAlign w:val="center"/>
            <w:tcMar>
              <w:top w:w="260" w:type="dxa"/>
              <w:start w:w="70" w:type="dxa"/>
              <w:bottom w:w="260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111820"/>
                <w:sz w:val="16"/>
              </w:rPr>
              <w:t>Diversification benefits justify added overhead</w:t>
            </w:r>
          </w:p>
        </w:tc>
      </w:tr>
    </w:tbl>
    <w:p>
      <w:pPr>
        <w:spacing w:before="160" w:after="60" w:line="240" w:lineRule="auto"/>
        <w:keepNext/>
      </w:pPr>
      <w:r>
        <w:rPr>
          <w:rFonts w:ascii="Arial" w:hAnsi="Arial"/>
          <w:b/>
          <w:color w:val="1A575B"/>
          <w:sz w:val="32"/>
        </w:rPr>
        <w:t>Interpretation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944"/>
        <w:gridCol w:w="8568"/>
      </w:tblGrid>
      <w:tr>
        <w:tc>
          <w:tcPr>
            <w:tcW w:type="dxa" w:w="5285"/>
            <w:tcMar>
              <w:top w:w="180" w:type="dxa"/>
              <w:start w:w="35" w:type="dxa"/>
              <w:bottom w:w="180" w:type="dxa"/>
              <w:end w:w="55" w:type="dxa"/>
            </w:tcMar>
            <w:tcBorders>
              <w:bottom w:val="nil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1A575B"/>
                <w:sz w:val="18"/>
              </w:rPr>
              <w:t>Mostly 1-2</w:t>
            </w:r>
          </w:p>
        </w:tc>
        <w:tc>
          <w:tcPr>
            <w:tcW w:type="dxa" w:w="5285"/>
            <w:tcMar>
              <w:top w:w="180" w:type="dxa"/>
              <w:start w:w="35" w:type="dxa"/>
              <w:bottom w:w="180" w:type="dxa"/>
              <w:end w:w="55" w:type="dxa"/>
            </w:tcMar>
            <w:tcBorders>
              <w:bottom w:val="nil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111820"/>
                <w:sz w:val="18"/>
              </w:rPr>
              <w:t>The economics and operating reality may favor one strategic provider.</w:t>
            </w:r>
          </w:p>
        </w:tc>
      </w:tr>
      <w:tr>
        <w:tc>
          <w:tcPr>
            <w:tcW w:type="dxa" w:w="5285"/>
            <w:tcMar>
              <w:top w:w="180" w:type="dxa"/>
              <w:start w:w="35" w:type="dxa"/>
              <w:bottom w:w="180" w:type="dxa"/>
              <w:end w:w="55" w:type="dxa"/>
            </w:tcMar>
            <w:tcBorders>
              <w:bottom w:val="nil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1A575B"/>
                <w:sz w:val="18"/>
              </w:rPr>
              <w:t>Mostly 4-5</w:t>
            </w:r>
          </w:p>
        </w:tc>
        <w:tc>
          <w:tcPr>
            <w:tcW w:type="dxa" w:w="5285"/>
            <w:tcMar>
              <w:top w:w="180" w:type="dxa"/>
              <w:start w:w="35" w:type="dxa"/>
              <w:bottom w:w="180" w:type="dxa"/>
              <w:end w:w="55" w:type="dxa"/>
            </w:tcMar>
            <w:tcBorders>
              <w:bottom w:val="nil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111820"/>
                <w:sz w:val="18"/>
              </w:rPr>
              <w:t>The operation may benefit from a diversified multi-provider network.</w:t>
            </w:r>
          </w:p>
        </w:tc>
      </w:tr>
      <w:tr>
        <w:tc>
          <w:tcPr>
            <w:tcW w:type="dxa" w:w="5285"/>
            <w:tcMar>
              <w:top w:w="180" w:type="dxa"/>
              <w:start w:w="35" w:type="dxa"/>
              <w:bottom w:w="180" w:type="dxa"/>
              <w:end w:w="55" w:type="dxa"/>
            </w:tcMar>
            <w:tcBorders>
              <w:bottom w:val="nil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1A575B"/>
                <w:sz w:val="18"/>
              </w:rPr>
              <w:t>Mostly 3 / mixed</w:t>
            </w:r>
          </w:p>
        </w:tc>
        <w:tc>
          <w:tcPr>
            <w:tcW w:type="dxa" w:w="5285"/>
            <w:tcMar>
              <w:top w:w="180" w:type="dxa"/>
              <w:start w:w="35" w:type="dxa"/>
              <w:bottom w:w="180" w:type="dxa"/>
              <w:end w:w="55" w:type="dxa"/>
            </w:tcMar>
            <w:tcBorders>
              <w:bottom w:val="nil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111820"/>
                <w:sz w:val="18"/>
              </w:rPr>
              <w:t>A hybrid design may preserve simplicity while adding targeted optionality.</w:t>
            </w:r>
          </w:p>
        </w:tc>
      </w:tr>
      <w:tr>
        <w:tc>
          <w:tcPr>
            <w:tcW w:type="dxa" w:w="5285"/>
            <w:tcMar>
              <w:top w:w="180" w:type="dxa"/>
              <w:start w:w="35" w:type="dxa"/>
              <w:bottom w:w="180" w:type="dxa"/>
              <w:end w:w="55" w:type="dxa"/>
            </w:tcMar>
            <w:tcBorders>
              <w:bottom w:val="nil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1A575B"/>
                <w:sz w:val="18"/>
              </w:rPr>
              <w:t>Critical constraint</w:t>
            </w:r>
          </w:p>
        </w:tc>
        <w:tc>
          <w:tcPr>
            <w:tcW w:type="dxa" w:w="5285"/>
            <w:tcMar>
              <w:top w:w="180" w:type="dxa"/>
              <w:start w:w="35" w:type="dxa"/>
              <w:bottom w:w="180" w:type="dxa"/>
              <w:end w:w="55" w:type="dxa"/>
            </w:tcMar>
            <w:tcBorders>
              <w:bottom w:val="nil"/>
            </w:tcBorders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color w:val="111820"/>
                <w:sz w:val="18"/>
              </w:rPr>
              <w:t>A regulatory, continuity, capability, geography, technology, or transition constraint can outweigh the composite score.</w:t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20"/>
        <w:gridCol w:w="6048"/>
      </w:tblGrid>
      <w:tr>
        <w:tc>
          <w:tcPr>
            <w:tcW w:type="dxa" w:w="5285"/>
            <w:shd w:fill="091015"/>
            <w:tcMar>
              <w:top w:w="110" w:type="dxa"/>
              <w:start w:w="100" w:type="dxa"/>
              <w:bottom w:w="110" w:type="dxa"/>
              <w:end w:w="10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E9EEDC"/>
                <w:sz w:val="21"/>
              </w:rPr>
              <w:t>ARENACX | RESOURCES</w:t>
            </w:r>
          </w:p>
        </w:tc>
        <w:tc>
          <w:tcPr>
            <w:tcW w:type="dxa" w:w="5285"/>
            <w:shd w:fill="091015"/>
            <w:tcMar>
              <w:top w:w="110" w:type="dxa"/>
              <w:start w:w="100" w:type="dxa"/>
              <w:bottom w:w="110" w:type="dxa"/>
              <w:end w:w="10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8E9AA3"/>
                <w:sz w:val="17"/>
              </w:rPr>
              <w:t>Pressure test and recommendation</w:t>
            </w:r>
          </w:p>
        </w:tc>
      </w:tr>
    </w:tbl>
    <w:p>
      <w:pPr>
        <w:spacing w:after="0"/>
      </w:pPr>
    </w:p>
    <w:p>
      <w:pPr>
        <w:spacing w:before="20" w:after="40" w:line="240" w:lineRule="auto"/>
        <w:keepNext/>
      </w:pPr>
      <w:r>
        <w:rPr>
          <w:rFonts w:ascii="Arial" w:hAnsi="Arial"/>
          <w:b/>
          <w:color w:val="1A575B"/>
          <w:sz w:val="32"/>
        </w:rPr>
        <w:t>Pressure-test the preferred model</w:t>
      </w:r>
    </w:p>
    <w:p>
      <w:pPr>
        <w:spacing w:before="0" w:after="60" w:line="240" w:lineRule="auto"/>
      </w:pPr>
      <w:r>
        <w:rPr>
          <w:rFonts w:ascii="Arial" w:hAnsi="Arial"/>
          <w:b w:val="0"/>
          <w:color w:val="5D6872"/>
          <w:sz w:val="18"/>
        </w:rPr>
        <w:t>Use realistic operating scenarios. The goal is to test whether the model works when conditions change.</w:t>
      </w:r>
    </w:p>
    <w:p>
      <w:pPr>
        <w:spacing w:before="0" w:after="10" w:line="240" w:lineRule="auto"/>
        <w:keepNext/>
      </w:pPr>
      <w:r>
        <w:rPr>
          <w:rFonts w:ascii="Arial" w:hAnsi="Arial"/>
          <w:b/>
          <w:color w:val="111820"/>
          <w:sz w:val="17"/>
        </w:rPr>
        <w:t>1. What failure are we trying to protect against?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49"/>
        <w:gridCol w:w="9720"/>
      </w:tblGrid>
      <w:tr>
        <w:tc>
          <w:tcPr>
            <w:tcW w:type="dxa" w:w="5285"/>
            <w:tcMar>
              <w:top w:w="15" w:type="dxa"/>
              <w:start w:w="0" w:type="dxa"/>
              <w:bottom w:w="45" w:type="dxa"/>
              <w:end w:w="15" w:type="dxa"/>
            </w:tcMar>
          </w:tcPr>
          <w:p>
            <w:r>
              <w:rPr>
                <w:rFonts w:ascii="Arial" w:hAnsi="Arial"/>
                <w:b w:val="0"/>
                <w:color w:val="829099"/>
                <w:sz w:val="16"/>
              </w:rPr>
              <w:t>Notes:</w:t>
            </w:r>
          </w:p>
        </w:tc>
        <w:tc>
          <w:tcPr>
            <w:tcW w:type="dxa" w:w="5285"/>
            <w:tcMar>
              <w:top w:w="15" w:type="dxa"/>
              <w:start w:w="35" w:type="dxa"/>
              <w:bottom w:w="45" w:type="dxa"/>
              <w:end w:w="35" w:type="dxa"/>
            </w:tcMar>
            <w:shd w:fill="F4F7F7"/>
            <w:tcBorders>
              <w:top w:val="nil"/>
              <w:left w:val="nil"/>
              <w:bottom w:val="single" w:sz="5" w:color="AEB8BD"/>
              <w:right w:val="nil"/>
            </w:tcBorders>
          </w:tcPr>
          <w:p>
            <w:r>
              <w:t xml:space="preserve"> </w:t>
            </w:r>
          </w:p>
        </w:tc>
      </w:tr>
    </w:tbl>
    <w:p>
      <w:pPr>
        <w:spacing w:before="0" w:after="10" w:line="240" w:lineRule="auto"/>
        <w:keepNext/>
      </w:pPr>
      <w:r>
        <w:rPr>
          <w:rFonts w:ascii="Arial" w:hAnsi="Arial"/>
          <w:b/>
          <w:color w:val="111820"/>
          <w:sz w:val="17"/>
        </w:rPr>
        <w:t>2. Which provider capabilities are genuinely differentiated?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49"/>
        <w:gridCol w:w="9720"/>
      </w:tblGrid>
      <w:tr>
        <w:tc>
          <w:tcPr>
            <w:tcW w:type="dxa" w:w="5285"/>
            <w:tcMar>
              <w:top w:w="15" w:type="dxa"/>
              <w:start w:w="0" w:type="dxa"/>
              <w:bottom w:w="45" w:type="dxa"/>
              <w:end w:w="15" w:type="dxa"/>
            </w:tcMar>
          </w:tcPr>
          <w:p>
            <w:r>
              <w:rPr>
                <w:rFonts w:ascii="Arial" w:hAnsi="Arial"/>
                <w:b w:val="0"/>
                <w:color w:val="829099"/>
                <w:sz w:val="16"/>
              </w:rPr>
              <w:t>Notes:</w:t>
            </w:r>
          </w:p>
        </w:tc>
        <w:tc>
          <w:tcPr>
            <w:tcW w:type="dxa" w:w="5285"/>
            <w:tcMar>
              <w:top w:w="15" w:type="dxa"/>
              <w:start w:w="35" w:type="dxa"/>
              <w:bottom w:w="45" w:type="dxa"/>
              <w:end w:w="35" w:type="dxa"/>
            </w:tcMar>
            <w:shd w:fill="F4F7F7"/>
            <w:tcBorders>
              <w:top w:val="nil"/>
              <w:left w:val="nil"/>
              <w:bottom w:val="single" w:sz="5" w:color="AEB8BD"/>
              <w:right w:val="nil"/>
            </w:tcBorders>
          </w:tcPr>
          <w:p>
            <w:r>
              <w:t xml:space="preserve"> </w:t>
            </w:r>
          </w:p>
        </w:tc>
      </w:tr>
    </w:tbl>
    <w:p>
      <w:pPr>
        <w:spacing w:before="0" w:after="10" w:line="240" w:lineRule="auto"/>
        <w:keepNext/>
      </w:pPr>
      <w:r>
        <w:rPr>
          <w:rFonts w:ascii="Arial" w:hAnsi="Arial"/>
          <w:b w:val="0"/>
          <w:color w:val="111820"/>
          <w:sz w:val="17"/>
        </w:rPr>
        <w:t>3. Can alternative capacity be activated quickly enough to matter?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49"/>
        <w:gridCol w:w="9720"/>
      </w:tblGrid>
      <w:tr>
        <w:tc>
          <w:tcPr>
            <w:tcW w:type="dxa" w:w="5285"/>
            <w:tcMar>
              <w:top w:w="15" w:type="dxa"/>
              <w:start w:w="0" w:type="dxa"/>
              <w:bottom w:w="45" w:type="dxa"/>
              <w:end w:w="15" w:type="dxa"/>
            </w:tcMar>
          </w:tcPr>
          <w:p>
            <w:r>
              <w:rPr>
                <w:rFonts w:ascii="Arial" w:hAnsi="Arial"/>
                <w:b w:val="0"/>
                <w:color w:val="829099"/>
                <w:sz w:val="16"/>
              </w:rPr>
              <w:t>Notes:</w:t>
            </w:r>
          </w:p>
        </w:tc>
        <w:tc>
          <w:tcPr>
            <w:tcW w:type="dxa" w:w="5285"/>
            <w:tcMar>
              <w:top w:w="15" w:type="dxa"/>
              <w:start w:w="35" w:type="dxa"/>
              <w:bottom w:w="45" w:type="dxa"/>
              <w:end w:w="35" w:type="dxa"/>
            </w:tcMar>
            <w:shd w:fill="F4F7F7"/>
            <w:tcBorders>
              <w:top w:val="nil"/>
              <w:left w:val="nil"/>
              <w:bottom w:val="single" w:sz="5" w:color="AEB8BD"/>
              <w:right w:val="nil"/>
            </w:tcBorders>
          </w:tcPr>
          <w:p>
            <w:r>
              <w:t xml:space="preserve"> </w:t>
            </w:r>
          </w:p>
        </w:tc>
      </w:tr>
    </w:tbl>
    <w:p>
      <w:pPr>
        <w:spacing w:before="0" w:after="10" w:line="240" w:lineRule="auto"/>
        <w:keepNext/>
      </w:pPr>
      <w:r>
        <w:rPr>
          <w:rFonts w:ascii="Arial" w:hAnsi="Arial"/>
          <w:b w:val="0"/>
          <w:color w:val="111820"/>
          <w:sz w:val="17"/>
        </w:rPr>
        <w:t>4. Are providers independent enough to reduce the risks we care about?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49"/>
        <w:gridCol w:w="9720"/>
      </w:tblGrid>
      <w:tr>
        <w:tc>
          <w:tcPr>
            <w:tcW w:type="dxa" w:w="5285"/>
            <w:tcMar>
              <w:top w:w="15" w:type="dxa"/>
              <w:start w:w="0" w:type="dxa"/>
              <w:bottom w:w="45" w:type="dxa"/>
              <w:end w:w="15" w:type="dxa"/>
            </w:tcMar>
          </w:tcPr>
          <w:p>
            <w:r>
              <w:rPr>
                <w:rFonts w:ascii="Arial" w:hAnsi="Arial"/>
                <w:b w:val="0"/>
                <w:color w:val="829099"/>
                <w:sz w:val="16"/>
              </w:rPr>
              <w:t>Notes:</w:t>
            </w:r>
          </w:p>
        </w:tc>
        <w:tc>
          <w:tcPr>
            <w:tcW w:type="dxa" w:w="5285"/>
            <w:tcMar>
              <w:top w:w="15" w:type="dxa"/>
              <w:start w:w="35" w:type="dxa"/>
              <w:bottom w:w="45" w:type="dxa"/>
              <w:end w:w="35" w:type="dxa"/>
            </w:tcMar>
            <w:shd w:fill="F4F7F7"/>
            <w:tcBorders>
              <w:top w:val="nil"/>
              <w:left w:val="nil"/>
              <w:bottom w:val="single" w:sz="5" w:color="AEB8BD"/>
              <w:right w:val="nil"/>
            </w:tcBorders>
          </w:tcPr>
          <w:p>
            <w:r>
              <w:t xml:space="preserve"> </w:t>
            </w:r>
          </w:p>
        </w:tc>
      </w:tr>
    </w:tbl>
    <w:p>
      <w:pPr>
        <w:spacing w:before="0" w:after="10" w:line="240" w:lineRule="auto"/>
        <w:keepNext/>
      </w:pPr>
      <w:r>
        <w:rPr>
          <w:rFonts w:ascii="Arial" w:hAnsi="Arial"/>
          <w:b w:val="0"/>
          <w:color w:val="111820"/>
          <w:sz w:val="17"/>
        </w:rPr>
        <w:t>5. Who owns allocation, forecasting, governance, performance, escalations, and provider-mix changes?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49"/>
        <w:gridCol w:w="9720"/>
      </w:tblGrid>
      <w:tr>
        <w:tc>
          <w:tcPr>
            <w:tcW w:type="dxa" w:w="5285"/>
            <w:tcMar>
              <w:top w:w="15" w:type="dxa"/>
              <w:start w:w="0" w:type="dxa"/>
              <w:bottom w:w="45" w:type="dxa"/>
              <w:end w:w="15" w:type="dxa"/>
            </w:tcMar>
          </w:tcPr>
          <w:p>
            <w:r>
              <w:rPr>
                <w:rFonts w:ascii="Arial" w:hAnsi="Arial"/>
                <w:b w:val="0"/>
                <w:color w:val="829099"/>
                <w:sz w:val="16"/>
              </w:rPr>
              <w:t>Notes:</w:t>
            </w:r>
          </w:p>
        </w:tc>
        <w:tc>
          <w:tcPr>
            <w:tcW w:type="dxa" w:w="5285"/>
            <w:tcMar>
              <w:top w:w="15" w:type="dxa"/>
              <w:start w:w="35" w:type="dxa"/>
              <w:bottom w:w="45" w:type="dxa"/>
              <w:end w:w="35" w:type="dxa"/>
            </w:tcMar>
            <w:shd w:fill="F4F7F7"/>
            <w:tcBorders>
              <w:top w:val="nil"/>
              <w:left w:val="nil"/>
              <w:bottom w:val="single" w:sz="5" w:color="AEB8BD"/>
              <w:right w:val="nil"/>
            </w:tcBorders>
          </w:tcPr>
          <w:p>
            <w:r>
              <w:t xml:space="preserve"> </w:t>
            </w:r>
          </w:p>
        </w:tc>
      </w:tr>
    </w:tbl>
    <w:p>
      <w:pPr>
        <w:spacing w:before="0" w:after="10" w:line="240" w:lineRule="auto"/>
        <w:keepNext/>
      </w:pPr>
      <w:r>
        <w:rPr>
          <w:rFonts w:ascii="Arial" w:hAnsi="Arial"/>
          <w:b w:val="0"/>
          <w:color w:val="111820"/>
          <w:sz w:val="17"/>
        </w:rPr>
        <w:t>6. What new management cost does each additional relationship create?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49"/>
        <w:gridCol w:w="9720"/>
      </w:tblGrid>
      <w:tr>
        <w:tc>
          <w:tcPr>
            <w:tcW w:type="dxa" w:w="5285"/>
            <w:tcMar>
              <w:top w:w="15" w:type="dxa"/>
              <w:start w:w="0" w:type="dxa"/>
              <w:bottom w:w="45" w:type="dxa"/>
              <w:end w:w="15" w:type="dxa"/>
            </w:tcMar>
          </w:tcPr>
          <w:p>
            <w:r>
              <w:rPr>
                <w:rFonts w:ascii="Arial" w:hAnsi="Arial"/>
                <w:b w:val="0"/>
                <w:color w:val="829099"/>
                <w:sz w:val="16"/>
              </w:rPr>
              <w:t>Notes:</w:t>
            </w:r>
          </w:p>
        </w:tc>
        <w:tc>
          <w:tcPr>
            <w:tcW w:type="dxa" w:w="5285"/>
            <w:tcMar>
              <w:top w:w="15" w:type="dxa"/>
              <w:start w:w="35" w:type="dxa"/>
              <w:bottom w:w="45" w:type="dxa"/>
              <w:end w:w="35" w:type="dxa"/>
            </w:tcMar>
            <w:shd w:fill="F4F7F7"/>
            <w:tcBorders>
              <w:top w:val="nil"/>
              <w:left w:val="nil"/>
              <w:bottom w:val="single" w:sz="5" w:color="AEB8BD"/>
              <w:right w:val="nil"/>
            </w:tcBorders>
          </w:tcPr>
          <w:p>
            <w:r>
              <w:t xml:space="preserve"> </w:t>
            </w:r>
          </w:p>
        </w:tc>
      </w:tr>
    </w:tbl>
    <w:p>
      <w:pPr>
        <w:spacing w:before="0" w:after="10" w:line="240" w:lineRule="auto"/>
        <w:keepNext/>
      </w:pPr>
      <w:r>
        <w:rPr>
          <w:rFonts w:ascii="Arial" w:hAnsi="Arial"/>
          <w:b w:val="0"/>
          <w:color w:val="111820"/>
          <w:sz w:val="17"/>
        </w:rPr>
        <w:t>7. What is the realistic switching or transition cost?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49"/>
        <w:gridCol w:w="9720"/>
      </w:tblGrid>
      <w:tr>
        <w:tc>
          <w:tcPr>
            <w:tcW w:type="dxa" w:w="5285"/>
            <w:tcMar>
              <w:top w:w="15" w:type="dxa"/>
              <w:start w:w="0" w:type="dxa"/>
              <w:bottom w:w="45" w:type="dxa"/>
              <w:end w:w="15" w:type="dxa"/>
            </w:tcMar>
          </w:tcPr>
          <w:p>
            <w:r>
              <w:rPr>
                <w:rFonts w:ascii="Arial" w:hAnsi="Arial"/>
                <w:b w:val="0"/>
                <w:color w:val="829099"/>
                <w:sz w:val="16"/>
              </w:rPr>
              <w:t>Notes:</w:t>
            </w:r>
          </w:p>
        </w:tc>
        <w:tc>
          <w:tcPr>
            <w:tcW w:type="dxa" w:w="5285"/>
            <w:tcMar>
              <w:top w:w="15" w:type="dxa"/>
              <w:start w:w="35" w:type="dxa"/>
              <w:bottom w:w="45" w:type="dxa"/>
              <w:end w:w="35" w:type="dxa"/>
            </w:tcMar>
            <w:shd w:fill="F4F7F7"/>
            <w:tcBorders>
              <w:top w:val="nil"/>
              <w:left w:val="nil"/>
              <w:bottom w:val="single" w:sz="5" w:color="AEB8BD"/>
              <w:right w:val="nil"/>
            </w:tcBorders>
          </w:tcPr>
          <w:p>
            <w:r>
              <w:t xml:space="preserve"> </w:t>
            </w:r>
          </w:p>
        </w:tc>
      </w:tr>
    </w:tbl>
    <w:p>
      <w:pPr>
        <w:spacing w:before="0" w:after="10" w:line="240" w:lineRule="auto"/>
        <w:keepNext/>
      </w:pPr>
      <w:r>
        <w:rPr>
          <w:rFonts w:ascii="Arial" w:hAnsi="Arial"/>
          <w:b w:val="0"/>
          <w:color w:val="111820"/>
          <w:sz w:val="17"/>
        </w:rPr>
        <w:t>8. What outcome would justify changing the current model?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49"/>
        <w:gridCol w:w="9720"/>
      </w:tblGrid>
      <w:tr>
        <w:tc>
          <w:tcPr>
            <w:tcW w:type="dxa" w:w="5285"/>
            <w:tcMar>
              <w:top w:w="15" w:type="dxa"/>
              <w:start w:w="0" w:type="dxa"/>
              <w:bottom w:w="45" w:type="dxa"/>
              <w:end w:w="15" w:type="dxa"/>
            </w:tcMar>
          </w:tcPr>
          <w:p>
            <w:r>
              <w:rPr>
                <w:rFonts w:ascii="Arial" w:hAnsi="Arial"/>
                <w:b w:val="0"/>
                <w:color w:val="829099"/>
                <w:sz w:val="16"/>
              </w:rPr>
              <w:t>Notes:</w:t>
            </w:r>
          </w:p>
        </w:tc>
        <w:tc>
          <w:tcPr>
            <w:tcW w:type="dxa" w:w="5285"/>
            <w:tcMar>
              <w:top w:w="15" w:type="dxa"/>
              <w:start w:w="35" w:type="dxa"/>
              <w:bottom w:w="45" w:type="dxa"/>
              <w:end w:w="35" w:type="dxa"/>
            </w:tcMar>
            <w:shd w:fill="F4F7F7"/>
            <w:tcBorders>
              <w:top w:val="nil"/>
              <w:left w:val="nil"/>
              <w:bottom w:val="single" w:sz="5" w:color="AEB8BD"/>
              <w:right w:val="nil"/>
            </w:tcBorders>
          </w:tcPr>
          <w:p>
            <w:r>
              <w:t xml:space="preserve"> </w:t>
            </w:r>
          </w:p>
        </w:tc>
      </w:tr>
    </w:tbl>
    <w:p>
      <w:pPr>
        <w:spacing w:before="80" w:after="60" w:line="240" w:lineRule="auto"/>
        <w:keepNext/>
      </w:pPr>
      <w:r>
        <w:rPr>
          <w:rFonts w:ascii="Arial" w:hAnsi="Arial"/>
          <w:b/>
          <w:color w:val="1A575B"/>
          <w:sz w:val="32"/>
        </w:rPr>
        <w:t>Recommendation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76"/>
        <w:gridCol w:w="7992"/>
      </w:tblGrid>
      <w:tr>
        <w:tc>
          <w:tcPr>
            <w:tcW w:type="dxa" w:w="5285"/>
            <w:tcMar>
              <w:top w:w="42" w:type="dxa"/>
              <w:start w:w="0" w:type="dxa"/>
              <w:bottom w:w="42" w:type="dxa"/>
              <w:end w:w="50" w:type="dxa"/>
            </w:tcMar>
          </w:tcPr>
          <w:p>
            <w:r>
              <w:rPr>
                <w:rFonts w:ascii="Arial" w:hAnsi="Arial"/>
                <w:b/>
                <w:color w:val="1A575B"/>
                <w:sz w:val="17"/>
              </w:rPr>
              <w:t>Recommended model</w:t>
            </w:r>
          </w:p>
        </w:tc>
        <w:tc>
          <w:tcPr>
            <w:tcW w:type="dxa" w:w="5285"/>
            <w:tcMar>
              <w:top w:w="42" w:type="dxa"/>
              <w:start w:w="55" w:type="dxa"/>
              <w:bottom w:w="42" w:type="dxa"/>
              <w:end w:w="55" w:type="dxa"/>
            </w:tcMar>
          </w:tcPr>
          <w:p>
            <w:r>
              <w:rPr>
                <w:rFonts w:ascii="Arial" w:hAnsi="Arial"/>
                <w:b w:val="0"/>
                <w:color w:val="111820"/>
                <w:sz w:val="17"/>
              </w:rPr>
              <w:t>☐ Single provider        ☐ Hybrid model        ☐ Multi-provider network</w:t>
            </w:r>
          </w:p>
        </w:tc>
      </w:tr>
      <w:tr>
        <w:tc>
          <w:tcPr>
            <w:tcW w:type="dxa" w:w="5285"/>
            <w:tcMar>
              <w:top w:w="42" w:type="dxa"/>
              <w:start w:w="0" w:type="dxa"/>
              <w:bottom w:w="42" w:type="dxa"/>
              <w:end w:w="50" w:type="dxa"/>
            </w:tcMar>
          </w:tcPr>
          <w:p>
            <w:r>
              <w:rPr>
                <w:rFonts w:ascii="Arial" w:hAnsi="Arial"/>
                <w:b/>
                <w:color w:val="1A575B"/>
                <w:sz w:val="17"/>
              </w:rPr>
              <w:t>Why this model fits</w:t>
            </w:r>
          </w:p>
        </w:tc>
        <w:tc>
          <w:tcPr>
            <w:tcW w:type="dxa" w:w="5285"/>
            <w:tcMar>
              <w:top w:w="42" w:type="dxa"/>
              <w:start w:w="55" w:type="dxa"/>
              <w:bottom w:w="42" w:type="dxa"/>
              <w:end w:w="55" w:type="dxa"/>
            </w:tcMar>
            <w:shd w:fill="F4F7F7"/>
            <w:tcBorders>
              <w:bottom w:val="single" w:sz="5" w:color="AEB8BD"/>
            </w:tcBorders>
          </w:tcPr>
          <w:p>
            <w:r>
              <w:t xml:space="preserve"> </w:t>
            </w:r>
          </w:p>
        </w:tc>
      </w:tr>
      <w:tr>
        <w:tc>
          <w:tcPr>
            <w:tcW w:type="dxa" w:w="5285"/>
            <w:tcMar>
              <w:top w:w="42" w:type="dxa"/>
              <w:start w:w="0" w:type="dxa"/>
              <w:bottom w:w="42" w:type="dxa"/>
              <w:end w:w="50" w:type="dxa"/>
            </w:tcMar>
          </w:tcPr>
          <w:p>
            <w:r>
              <w:rPr>
                <w:rFonts w:ascii="Arial" w:hAnsi="Arial"/>
                <w:b/>
                <w:color w:val="1A575B"/>
                <w:sz w:val="17"/>
              </w:rPr>
              <w:t>Critical constraints / override factors</w:t>
            </w:r>
          </w:p>
        </w:tc>
        <w:tc>
          <w:tcPr>
            <w:tcW w:type="dxa" w:w="5285"/>
            <w:tcMar>
              <w:top w:w="42" w:type="dxa"/>
              <w:start w:w="55" w:type="dxa"/>
              <w:bottom w:w="42" w:type="dxa"/>
              <w:end w:w="55" w:type="dxa"/>
            </w:tcMar>
            <w:shd w:fill="F4F7F7"/>
            <w:tcBorders>
              <w:bottom w:val="single" w:sz="5" w:color="AEB8BD"/>
            </w:tcBorders>
          </w:tcPr>
          <w:p>
            <w:r>
              <w:t xml:space="preserve"> </w:t>
            </w:r>
          </w:p>
        </w:tc>
      </w:tr>
      <w:tr>
        <w:tc>
          <w:tcPr>
            <w:tcW w:type="dxa" w:w="5285"/>
            <w:tcMar>
              <w:top w:w="42" w:type="dxa"/>
              <w:start w:w="0" w:type="dxa"/>
              <w:bottom w:w="42" w:type="dxa"/>
              <w:end w:w="50" w:type="dxa"/>
            </w:tcMar>
          </w:tcPr>
          <w:p>
            <w:r>
              <w:rPr>
                <w:rFonts w:ascii="Arial" w:hAnsi="Arial"/>
                <w:b/>
                <w:color w:val="1A575B"/>
                <w:sz w:val="17"/>
              </w:rPr>
              <w:t>Key conditions for success</w:t>
            </w:r>
          </w:p>
        </w:tc>
        <w:tc>
          <w:tcPr>
            <w:tcW w:type="dxa" w:w="5285"/>
            <w:tcMar>
              <w:top w:w="42" w:type="dxa"/>
              <w:start w:w="55" w:type="dxa"/>
              <w:bottom w:w="42" w:type="dxa"/>
              <w:end w:w="55" w:type="dxa"/>
            </w:tcMar>
            <w:shd w:fill="F4F7F7"/>
            <w:tcBorders>
              <w:bottom w:val="single" w:sz="5" w:color="AEB8BD"/>
            </w:tcBorders>
          </w:tcPr>
          <w:p>
            <w:r>
              <w:t xml:space="preserve"> </w:t>
            </w:r>
          </w:p>
        </w:tc>
      </w:tr>
      <w:tr>
        <w:tc>
          <w:tcPr>
            <w:tcW w:type="dxa" w:w="5285"/>
            <w:tcMar>
              <w:top w:w="42" w:type="dxa"/>
              <w:start w:w="0" w:type="dxa"/>
              <w:bottom w:w="42" w:type="dxa"/>
              <w:end w:w="50" w:type="dxa"/>
            </w:tcMar>
          </w:tcPr>
          <w:p>
            <w:r>
              <w:rPr>
                <w:rFonts w:ascii="Arial" w:hAnsi="Arial"/>
                <w:b/>
                <w:color w:val="1A575B"/>
                <w:sz w:val="17"/>
              </w:rPr>
              <w:t>Risks and mitigations</w:t>
            </w:r>
          </w:p>
        </w:tc>
        <w:tc>
          <w:tcPr>
            <w:tcW w:type="dxa" w:w="5285"/>
            <w:tcMar>
              <w:top w:w="42" w:type="dxa"/>
              <w:start w:w="55" w:type="dxa"/>
              <w:bottom w:w="42" w:type="dxa"/>
              <w:end w:w="55" w:type="dxa"/>
            </w:tcMar>
            <w:shd w:fill="F4F7F7"/>
            <w:tcBorders>
              <w:bottom w:val="single" w:sz="5" w:color="AEB8BD"/>
            </w:tcBorders>
          </w:tcPr>
          <w:p>
            <w:r>
              <w:t xml:space="preserve"> </w:t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20"/>
        <w:gridCol w:w="6048"/>
      </w:tblGrid>
      <w:tr>
        <w:tc>
          <w:tcPr>
            <w:tcW w:type="dxa" w:w="5285"/>
            <w:shd w:fill="091015"/>
            <w:tcMar>
              <w:top w:w="110" w:type="dxa"/>
              <w:start w:w="100" w:type="dxa"/>
              <w:bottom w:w="110" w:type="dxa"/>
              <w:end w:w="10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E9EEDC"/>
                <w:sz w:val="21"/>
              </w:rPr>
              <w:t>ARENACX | RESOURCES</w:t>
            </w:r>
          </w:p>
        </w:tc>
        <w:tc>
          <w:tcPr>
            <w:tcW w:type="dxa" w:w="5285"/>
            <w:shd w:fill="091015"/>
            <w:tcMar>
              <w:top w:w="110" w:type="dxa"/>
              <w:start w:w="100" w:type="dxa"/>
              <w:bottom w:w="110" w:type="dxa"/>
              <w:end w:w="10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8E9AA3"/>
                <w:sz w:val="17"/>
              </w:rPr>
              <w:t>Decision record and 90-day action plan</w:t>
            </w:r>
          </w:p>
        </w:tc>
      </w:tr>
    </w:tbl>
    <w:p>
      <w:pPr>
        <w:spacing w:after="0"/>
      </w:pPr>
    </w:p>
    <w:p>
      <w:pPr>
        <w:spacing w:before="20" w:after="40" w:line="240" w:lineRule="auto"/>
        <w:keepNext/>
      </w:pPr>
      <w:r>
        <w:rPr>
          <w:rFonts w:ascii="Arial" w:hAnsi="Arial"/>
          <w:b/>
          <w:color w:val="1A575B"/>
          <w:sz w:val="32"/>
        </w:rPr>
        <w:t>Decision principle</w:t>
      </w:r>
    </w:p>
    <w:p>
      <w:pPr>
        <w:spacing w:before="0" w:after="40" w:line="240" w:lineRule="auto"/>
        <w:keepNext/>
      </w:pPr>
      <w:r>
        <w:rPr>
          <w:rFonts w:ascii="Arial" w:hAnsi="Arial"/>
          <w:b/>
          <w:color w:val="1A575B"/>
          <w:sz w:val="24"/>
        </w:rPr>
        <w:t>Design for optionality, not complexity.</w:t>
      </w:r>
    </w:p>
    <w:p>
      <w:pPr>
        <w:spacing w:before="0" w:after="100" w:line="240" w:lineRule="auto"/>
      </w:pPr>
      <w:r>
        <w:rPr>
          <w:rFonts w:ascii="Arial" w:hAnsi="Arial"/>
          <w:b w:val="0"/>
          <w:color w:val="111820"/>
          <w:sz w:val="18"/>
        </w:rPr>
        <w:t>The goal is not to maximize provider count. Preserve the capabilities and choices the operation actually needs, with governance strong enough to make those choices usable.</w:t>
      </w:r>
    </w:p>
    <w:p>
      <w:pPr>
        <w:spacing w:before="60" w:after="60" w:line="240" w:lineRule="auto"/>
        <w:keepNext/>
      </w:pPr>
      <w:r>
        <w:rPr>
          <w:rFonts w:ascii="Arial" w:hAnsi="Arial"/>
          <w:b/>
          <w:color w:val="1A575B"/>
          <w:sz w:val="32"/>
        </w:rPr>
        <w:t>Decision record and review trigger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7992"/>
      </w:tblGrid>
      <w:tr>
        <w:tc>
          <w:tcPr>
            <w:tcW w:type="dxa" w:w="5285"/>
            <w:tcMar>
              <w:top w:w="55" w:type="dxa"/>
              <w:start w:w="0" w:type="dxa"/>
              <w:bottom w:w="55" w:type="dxa"/>
              <w:end w:w="45" w:type="dxa"/>
            </w:tcMar>
          </w:tcPr>
          <w:p>
            <w:r>
              <w:rPr>
                <w:rFonts w:ascii="Arial" w:hAnsi="Arial"/>
                <w:b/>
                <w:color w:val="1A575B"/>
                <w:sz w:val="18"/>
              </w:rPr>
              <w:t>Decision approved by</w:t>
            </w:r>
          </w:p>
        </w:tc>
        <w:tc>
          <w:tcPr>
            <w:tcW w:type="dxa" w:w="5285"/>
            <w:tcMar>
              <w:top w:w="55" w:type="dxa"/>
              <w:start w:w="45" w:type="dxa"/>
              <w:bottom w:w="55" w:type="dxa"/>
              <w:end w:w="45" w:type="dxa"/>
            </w:tcMar>
            <w:shd w:fill="F4F7F7"/>
            <w:tcBorders>
              <w:bottom w:val="single" w:sz="5" w:color="AEB8BD"/>
            </w:tcBorders>
          </w:tcPr>
          <w:p>
            <w:r>
              <w:t xml:space="preserve"> </w:t>
            </w:r>
          </w:p>
        </w:tc>
      </w:tr>
      <w:tr>
        <w:tc>
          <w:tcPr>
            <w:tcW w:type="dxa" w:w="5285"/>
            <w:tcMar>
              <w:top w:w="55" w:type="dxa"/>
              <w:start w:w="0" w:type="dxa"/>
              <w:bottom w:w="55" w:type="dxa"/>
              <w:end w:w="45" w:type="dxa"/>
            </w:tcMar>
          </w:tcPr>
          <w:p>
            <w:r>
              <w:rPr>
                <w:rFonts w:ascii="Arial" w:hAnsi="Arial"/>
                <w:b/>
                <w:color w:val="1A575B"/>
                <w:sz w:val="18"/>
              </w:rPr>
              <w:t>Decision date</w:t>
            </w:r>
          </w:p>
        </w:tc>
        <w:tc>
          <w:tcPr>
            <w:tcW w:type="dxa" w:w="5285"/>
            <w:tcMar>
              <w:top w:w="55" w:type="dxa"/>
              <w:start w:w="45" w:type="dxa"/>
              <w:bottom w:w="55" w:type="dxa"/>
              <w:end w:w="45" w:type="dxa"/>
            </w:tcMar>
            <w:shd w:fill="F4F7F7"/>
            <w:tcBorders>
              <w:bottom w:val="single" w:sz="5" w:color="AEB8BD"/>
            </w:tcBorders>
          </w:tcPr>
          <w:p>
            <w:r>
              <w:t xml:space="preserve"> </w:t>
            </w:r>
          </w:p>
        </w:tc>
      </w:tr>
      <w:tr>
        <w:tc>
          <w:tcPr>
            <w:tcW w:type="dxa" w:w="5285"/>
            <w:tcMar>
              <w:top w:w="55" w:type="dxa"/>
              <w:start w:w="0" w:type="dxa"/>
              <w:bottom w:w="55" w:type="dxa"/>
              <w:end w:w="45" w:type="dxa"/>
            </w:tcMar>
          </w:tcPr>
          <w:p>
            <w:r>
              <w:rPr>
                <w:rFonts w:ascii="Arial" w:hAnsi="Arial"/>
                <w:b/>
                <w:color w:val="1A575B"/>
                <w:sz w:val="18"/>
              </w:rPr>
              <w:t>Next review trigger / date</w:t>
            </w:r>
          </w:p>
        </w:tc>
        <w:tc>
          <w:tcPr>
            <w:tcW w:type="dxa" w:w="5285"/>
            <w:tcMar>
              <w:top w:w="55" w:type="dxa"/>
              <w:start w:w="45" w:type="dxa"/>
              <w:bottom w:w="55" w:type="dxa"/>
              <w:end w:w="45" w:type="dxa"/>
            </w:tcMar>
            <w:shd w:fill="F4F7F7"/>
            <w:tcBorders>
              <w:bottom w:val="single" w:sz="5" w:color="AEB8BD"/>
            </w:tcBorders>
          </w:tcPr>
          <w:p>
            <w:r>
              <w:t xml:space="preserve"> </w:t>
            </w:r>
          </w:p>
        </w:tc>
      </w:tr>
    </w:tbl>
    <w:p>
      <w:pPr>
        <w:spacing w:before="100" w:after="60" w:line="240" w:lineRule="auto"/>
        <w:keepNext/>
      </w:pPr>
      <w:r>
        <w:rPr>
          <w:rFonts w:ascii="Arial" w:hAnsi="Arial"/>
          <w:b/>
          <w:color w:val="1A575B"/>
          <w:sz w:val="32"/>
        </w:rPr>
        <w:t>90-day actions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6"/>
        <w:gridCol w:w="1656"/>
        <w:gridCol w:w="1800"/>
        <w:gridCol w:w="2592"/>
      </w:tblGrid>
      <w:tr>
        <w:trPr>
          <w:tblHeader w:val="true"/>
        </w:trPr>
        <w:tc>
          <w:tcPr>
            <w:tcW w:type="dxa" w:w="2642"/>
            <w:vAlign w:val="center"/>
            <w:tcMar>
              <w:top w:w="95" w:type="dxa"/>
              <w:start w:w="70" w:type="dxa"/>
              <w:bottom w:w="95" w:type="dxa"/>
              <w:end w:w="70" w:type="dxa"/>
            </w:tcMar>
            <w:shd w:fill="1A575B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Action</w:t>
            </w:r>
          </w:p>
        </w:tc>
        <w:tc>
          <w:tcPr>
            <w:tcW w:type="dxa" w:w="2642"/>
            <w:vAlign w:val="center"/>
            <w:tcMar>
              <w:top w:w="95" w:type="dxa"/>
              <w:start w:w="70" w:type="dxa"/>
              <w:bottom w:w="95" w:type="dxa"/>
              <w:end w:w="70" w:type="dxa"/>
            </w:tcMar>
            <w:shd w:fill="1A575B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Owner</w:t>
            </w:r>
          </w:p>
        </w:tc>
        <w:tc>
          <w:tcPr>
            <w:tcW w:type="dxa" w:w="2642"/>
            <w:vAlign w:val="center"/>
            <w:tcMar>
              <w:top w:w="95" w:type="dxa"/>
              <w:start w:w="70" w:type="dxa"/>
              <w:bottom w:w="95" w:type="dxa"/>
              <w:end w:w="70" w:type="dxa"/>
            </w:tcMar>
            <w:shd w:fill="1A575B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Due / review</w:t>
            </w:r>
          </w:p>
        </w:tc>
        <w:tc>
          <w:tcPr>
            <w:tcW w:type="dxa" w:w="2642"/>
            <w:vAlign w:val="center"/>
            <w:tcMar>
              <w:top w:w="95" w:type="dxa"/>
              <w:start w:w="70" w:type="dxa"/>
              <w:bottom w:w="95" w:type="dxa"/>
              <w:end w:w="70" w:type="dxa"/>
            </w:tcMar>
            <w:shd w:fill="1A575B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Evidence of completion</w:t>
            </w:r>
          </w:p>
        </w:tc>
      </w:tr>
      <w:tr>
        <w:tc>
          <w:tcPr>
            <w:tcW w:type="dxa" w:w="2642"/>
            <w:shd w:fill="F4F7F7"/>
            <w:vAlign w:val="center"/>
            <w:tcMar>
              <w:top w:w="95" w:type="dxa"/>
              <w:start w:w="70" w:type="dxa"/>
              <w:bottom w:w="95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160" w:after="160" w:line="240" w:lineRule="auto"/>
            </w:pPr>
            <w:r>
              <w:rPr>
                <w:rFonts w:ascii="Arial" w:hAnsi="Arial"/>
                <w:b w:val="0"/>
                <w:color w:val="9BA6AC"/>
                <w:sz w:val="16"/>
              </w:rPr>
              <w:t xml:space="preserve">1. </w:t>
            </w:r>
          </w:p>
        </w:tc>
        <w:tc>
          <w:tcPr>
            <w:tcW w:type="dxa" w:w="2642"/>
            <w:shd w:fill="F4F7F7"/>
            <w:vAlign w:val="center"/>
            <w:tcMar>
              <w:top w:w="95" w:type="dxa"/>
              <w:start w:w="70" w:type="dxa"/>
              <w:bottom w:w="95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160" w:after="160" w:line="240" w:lineRule="auto"/>
            </w:pPr>
            <w:r>
              <w:rPr>
                <w:rFonts w:ascii="Arial" w:hAnsi="Arial"/>
                <w:b w:val="0"/>
                <w:color w:val="111820"/>
                <w:sz w:val="16"/>
              </w:rPr>
              <w:t xml:space="preserve"> </w:t>
            </w:r>
          </w:p>
        </w:tc>
        <w:tc>
          <w:tcPr>
            <w:tcW w:type="dxa" w:w="2642"/>
            <w:shd w:fill="F4F7F7"/>
            <w:vAlign w:val="center"/>
            <w:tcMar>
              <w:top w:w="95" w:type="dxa"/>
              <w:start w:w="70" w:type="dxa"/>
              <w:bottom w:w="95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160" w:after="160" w:line="240" w:lineRule="auto"/>
            </w:pPr>
            <w:r>
              <w:rPr>
                <w:rFonts w:ascii="Arial" w:hAnsi="Arial"/>
                <w:b w:val="0"/>
                <w:color w:val="111820"/>
                <w:sz w:val="16"/>
              </w:rPr>
              <w:t xml:space="preserve"> </w:t>
            </w:r>
          </w:p>
        </w:tc>
        <w:tc>
          <w:tcPr>
            <w:tcW w:type="dxa" w:w="2642"/>
            <w:shd w:fill="F4F7F7"/>
            <w:vAlign w:val="center"/>
            <w:tcMar>
              <w:top w:w="95" w:type="dxa"/>
              <w:start w:w="70" w:type="dxa"/>
              <w:bottom w:w="95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160" w:after="160" w:line="240" w:lineRule="auto"/>
            </w:pPr>
            <w:r>
              <w:rPr>
                <w:rFonts w:ascii="Arial" w:hAnsi="Arial"/>
                <w:b w:val="0"/>
                <w:color w:val="111820"/>
                <w:sz w:val="16"/>
              </w:rPr>
              <w:t xml:space="preserve"> </w:t>
            </w:r>
          </w:p>
        </w:tc>
      </w:tr>
      <w:tr>
        <w:tc>
          <w:tcPr>
            <w:tcW w:type="dxa" w:w="2642"/>
            <w:shd w:fill="F4F7F7"/>
            <w:vAlign w:val="center"/>
            <w:tcMar>
              <w:top w:w="95" w:type="dxa"/>
              <w:start w:w="70" w:type="dxa"/>
              <w:bottom w:w="95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160" w:after="160" w:line="240" w:lineRule="auto"/>
            </w:pPr>
            <w:r>
              <w:rPr>
                <w:rFonts w:ascii="Arial" w:hAnsi="Arial"/>
                <w:b w:val="0"/>
                <w:color w:val="9BA6AC"/>
                <w:sz w:val="16"/>
              </w:rPr>
              <w:t xml:space="preserve">2. </w:t>
            </w:r>
          </w:p>
        </w:tc>
        <w:tc>
          <w:tcPr>
            <w:tcW w:type="dxa" w:w="2642"/>
            <w:shd w:fill="F4F7F7"/>
            <w:vAlign w:val="center"/>
            <w:tcMar>
              <w:top w:w="95" w:type="dxa"/>
              <w:start w:w="70" w:type="dxa"/>
              <w:bottom w:w="95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160" w:after="160" w:line="240" w:lineRule="auto"/>
            </w:pPr>
            <w:r>
              <w:rPr>
                <w:rFonts w:ascii="Arial" w:hAnsi="Arial"/>
                <w:b w:val="0"/>
                <w:color w:val="111820"/>
                <w:sz w:val="16"/>
              </w:rPr>
              <w:t xml:space="preserve"> </w:t>
            </w:r>
          </w:p>
        </w:tc>
        <w:tc>
          <w:tcPr>
            <w:tcW w:type="dxa" w:w="2642"/>
            <w:shd w:fill="F4F7F7"/>
            <w:vAlign w:val="center"/>
            <w:tcMar>
              <w:top w:w="95" w:type="dxa"/>
              <w:start w:w="70" w:type="dxa"/>
              <w:bottom w:w="95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160" w:after="160" w:line="240" w:lineRule="auto"/>
            </w:pPr>
            <w:r>
              <w:rPr>
                <w:rFonts w:ascii="Arial" w:hAnsi="Arial"/>
                <w:b w:val="0"/>
                <w:color w:val="111820"/>
                <w:sz w:val="16"/>
              </w:rPr>
              <w:t xml:space="preserve"> </w:t>
            </w:r>
          </w:p>
        </w:tc>
        <w:tc>
          <w:tcPr>
            <w:tcW w:type="dxa" w:w="2642"/>
            <w:shd w:fill="F4F7F7"/>
            <w:vAlign w:val="center"/>
            <w:tcMar>
              <w:top w:w="95" w:type="dxa"/>
              <w:start w:w="70" w:type="dxa"/>
              <w:bottom w:w="95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160" w:after="160" w:line="240" w:lineRule="auto"/>
            </w:pPr>
            <w:r>
              <w:rPr>
                <w:rFonts w:ascii="Arial" w:hAnsi="Arial"/>
                <w:b w:val="0"/>
                <w:color w:val="111820"/>
                <w:sz w:val="16"/>
              </w:rPr>
              <w:t xml:space="preserve"> </w:t>
            </w:r>
          </w:p>
        </w:tc>
      </w:tr>
      <w:tr>
        <w:tc>
          <w:tcPr>
            <w:tcW w:type="dxa" w:w="2642"/>
            <w:shd w:fill="F4F7F7"/>
            <w:vAlign w:val="center"/>
            <w:tcMar>
              <w:top w:w="95" w:type="dxa"/>
              <w:start w:w="70" w:type="dxa"/>
              <w:bottom w:w="95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160" w:after="160" w:line="240" w:lineRule="auto"/>
            </w:pPr>
            <w:r>
              <w:rPr>
                <w:rFonts w:ascii="Arial" w:hAnsi="Arial"/>
                <w:b w:val="0"/>
                <w:color w:val="9BA6AC"/>
                <w:sz w:val="16"/>
              </w:rPr>
              <w:t xml:space="preserve">3. </w:t>
            </w:r>
          </w:p>
        </w:tc>
        <w:tc>
          <w:tcPr>
            <w:tcW w:type="dxa" w:w="2642"/>
            <w:shd w:fill="F4F7F7"/>
            <w:vAlign w:val="center"/>
            <w:tcMar>
              <w:top w:w="95" w:type="dxa"/>
              <w:start w:w="70" w:type="dxa"/>
              <w:bottom w:w="95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160" w:after="160" w:line="240" w:lineRule="auto"/>
            </w:pPr>
            <w:r>
              <w:rPr>
                <w:rFonts w:ascii="Arial" w:hAnsi="Arial"/>
                <w:b w:val="0"/>
                <w:color w:val="111820"/>
                <w:sz w:val="16"/>
              </w:rPr>
              <w:t xml:space="preserve"> </w:t>
            </w:r>
          </w:p>
        </w:tc>
        <w:tc>
          <w:tcPr>
            <w:tcW w:type="dxa" w:w="2642"/>
            <w:shd w:fill="F4F7F7"/>
            <w:vAlign w:val="center"/>
            <w:tcMar>
              <w:top w:w="95" w:type="dxa"/>
              <w:start w:w="70" w:type="dxa"/>
              <w:bottom w:w="95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160" w:after="160" w:line="240" w:lineRule="auto"/>
            </w:pPr>
            <w:r>
              <w:rPr>
                <w:rFonts w:ascii="Arial" w:hAnsi="Arial"/>
                <w:b w:val="0"/>
                <w:color w:val="111820"/>
                <w:sz w:val="16"/>
              </w:rPr>
              <w:t xml:space="preserve"> </w:t>
            </w:r>
          </w:p>
        </w:tc>
        <w:tc>
          <w:tcPr>
            <w:tcW w:type="dxa" w:w="2642"/>
            <w:shd w:fill="F4F7F7"/>
            <w:vAlign w:val="center"/>
            <w:tcMar>
              <w:top w:w="95" w:type="dxa"/>
              <w:start w:w="70" w:type="dxa"/>
              <w:bottom w:w="95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160" w:after="160" w:line="240" w:lineRule="auto"/>
            </w:pPr>
            <w:r>
              <w:rPr>
                <w:rFonts w:ascii="Arial" w:hAnsi="Arial"/>
                <w:b w:val="0"/>
                <w:color w:val="111820"/>
                <w:sz w:val="16"/>
              </w:rPr>
              <w:t xml:space="preserve"> </w:t>
            </w:r>
          </w:p>
        </w:tc>
      </w:tr>
      <w:tr>
        <w:tc>
          <w:tcPr>
            <w:tcW w:type="dxa" w:w="2642"/>
            <w:shd w:fill="F4F7F7"/>
            <w:vAlign w:val="center"/>
            <w:tcMar>
              <w:top w:w="95" w:type="dxa"/>
              <w:start w:w="70" w:type="dxa"/>
              <w:bottom w:w="95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160" w:after="160" w:line="240" w:lineRule="auto"/>
            </w:pPr>
            <w:r>
              <w:rPr>
                <w:rFonts w:ascii="Arial" w:hAnsi="Arial"/>
                <w:b w:val="0"/>
                <w:color w:val="9BA6AC"/>
                <w:sz w:val="16"/>
              </w:rPr>
              <w:t xml:space="preserve">4. </w:t>
            </w:r>
          </w:p>
        </w:tc>
        <w:tc>
          <w:tcPr>
            <w:tcW w:type="dxa" w:w="2642"/>
            <w:shd w:fill="F4F7F7"/>
            <w:vAlign w:val="center"/>
            <w:tcMar>
              <w:top w:w="95" w:type="dxa"/>
              <w:start w:w="70" w:type="dxa"/>
              <w:bottom w:w="95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160" w:after="160" w:line="240" w:lineRule="auto"/>
            </w:pPr>
            <w:r>
              <w:rPr>
                <w:rFonts w:ascii="Arial" w:hAnsi="Arial"/>
                <w:b w:val="0"/>
                <w:color w:val="111820"/>
                <w:sz w:val="16"/>
              </w:rPr>
              <w:t xml:space="preserve"> </w:t>
            </w:r>
          </w:p>
        </w:tc>
        <w:tc>
          <w:tcPr>
            <w:tcW w:type="dxa" w:w="2642"/>
            <w:shd w:fill="F4F7F7"/>
            <w:vAlign w:val="center"/>
            <w:tcMar>
              <w:top w:w="95" w:type="dxa"/>
              <w:start w:w="70" w:type="dxa"/>
              <w:bottom w:w="95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160" w:after="160" w:line="240" w:lineRule="auto"/>
            </w:pPr>
            <w:r>
              <w:rPr>
                <w:rFonts w:ascii="Arial" w:hAnsi="Arial"/>
                <w:b w:val="0"/>
                <w:color w:val="111820"/>
                <w:sz w:val="16"/>
              </w:rPr>
              <w:t xml:space="preserve"> </w:t>
            </w:r>
          </w:p>
        </w:tc>
        <w:tc>
          <w:tcPr>
            <w:tcW w:type="dxa" w:w="2642"/>
            <w:shd w:fill="F4F7F7"/>
            <w:vAlign w:val="center"/>
            <w:tcMar>
              <w:top w:w="95" w:type="dxa"/>
              <w:start w:w="70" w:type="dxa"/>
              <w:bottom w:w="95" w:type="dxa"/>
              <w:end w:w="70" w:type="dxa"/>
            </w:tcMar>
            <w:tcBorders>
              <w:bottom w:val="single" w:sz="4" w:color="D9E1E4"/>
            </w:tcBorders>
          </w:tcPr>
          <w:p>
            <w:pPr>
              <w:spacing w:before="160" w:after="160" w:line="240" w:lineRule="auto"/>
            </w:pPr>
            <w:r>
              <w:rPr>
                <w:rFonts w:ascii="Arial" w:hAnsi="Arial"/>
                <w:b w:val="0"/>
                <w:color w:val="111820"/>
                <w:sz w:val="16"/>
              </w:rPr>
              <w:t xml:space="preserve"> </w:t>
            </w:r>
          </w:p>
        </w:tc>
      </w:tr>
    </w:tbl>
    <w:p>
      <w:pPr>
        <w:spacing w:before="100" w:after="60" w:line="240" w:lineRule="auto"/>
        <w:keepNext/>
      </w:pPr>
      <w:r>
        <w:rPr>
          <w:rFonts w:ascii="Arial" w:hAnsi="Arial"/>
          <w:b/>
          <w:color w:val="1A575B"/>
          <w:sz w:val="32"/>
        </w:rPr>
        <w:t>Final notes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584"/>
      </w:tblGrid>
      <w:tr>
        <w:tc>
          <w:tcPr>
            <w:tcW w:type="dxa" w:w="10570"/>
            <w:shd w:fill="F4F7F7"/>
            <w:tcBorders>
              <w:top w:val="single" w:sz="5" w:color="AEB8BD"/>
              <w:left w:val="single" w:sz="5" w:color="D3DADD"/>
              <w:bottom w:val="single" w:sz="5" w:color="AEB8BD"/>
              <w:right w:val="single" w:sz="5" w:color="D3DADD"/>
            </w:tcBorders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br/>
              <w:br/>
              <w:br/>
              <w:br/>
              <w:br/>
            </w:r>
          </w:p>
        </w:tc>
      </w:tr>
    </w:tbl>
    <w:sectPr w:rsidR="00FC693F" w:rsidRPr="0006063C" w:rsidSect="00034616">
      <w:footerReference w:type="default" r:id="rId9"/>
      <w:pgSz w:w="12240" w:h="15840"/>
      <w:pgMar w:top="749" w:right="835" w:bottom="720" w:left="835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left"/>
    </w:pPr>
    <w:r>
      <w:rPr>
        <w:rFonts w:ascii="Arial" w:hAnsi="Arial"/>
        <w:b w:val="0"/>
        <w:color w:val="6B757C"/>
        <w:sz w:val="15"/>
      </w:rPr>
      <w:t>ArenaCX | Open Resource / Decision Framework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